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FC" w:rsidRPr="00EC6CFC" w:rsidRDefault="00EC6CFC" w:rsidP="00EC6CFC">
      <w:pPr>
        <w:pStyle w:val="2"/>
        <w:tabs>
          <w:tab w:val="left" w:pos="1104"/>
        </w:tabs>
        <w:ind w:left="0" w:right="1014"/>
        <w:rPr>
          <w:b w:val="0"/>
        </w:rPr>
      </w:pPr>
      <w:r w:rsidRPr="00EC6CFC">
        <w:rPr>
          <w:b w:val="0"/>
          <w:lang w:val="ru-RU"/>
        </w:rPr>
        <w:t>02.02.2021</w:t>
      </w:r>
      <w:r>
        <w:rPr>
          <w:b w:val="0"/>
        </w:rPr>
        <w:t>.</w:t>
      </w:r>
      <w:r w:rsidRPr="00EC6CFC">
        <w:rPr>
          <w:b w:val="0"/>
          <w:lang w:val="ru-RU"/>
        </w:rPr>
        <w:t xml:space="preserve"> </w:t>
      </w:r>
      <w:r>
        <w:rPr>
          <w:b w:val="0"/>
        </w:rPr>
        <w:t>Гр 2Б-1 Метрологія і стандартизація. Лук՚яненко С. І. Урок 22</w:t>
      </w:r>
    </w:p>
    <w:p w:rsidR="00EC6CFC" w:rsidRDefault="00EC6CFC" w:rsidP="00EC6CFC">
      <w:pPr>
        <w:pStyle w:val="2"/>
        <w:tabs>
          <w:tab w:val="left" w:pos="1104"/>
        </w:tabs>
        <w:ind w:left="0" w:right="1014"/>
      </w:pPr>
    </w:p>
    <w:p w:rsidR="00EC6CFC" w:rsidRDefault="00EC6CFC" w:rsidP="00EC6CFC">
      <w:pPr>
        <w:pStyle w:val="2"/>
        <w:tabs>
          <w:tab w:val="left" w:pos="1104"/>
        </w:tabs>
        <w:ind w:left="0" w:right="1014"/>
      </w:pPr>
      <w:bookmarkStart w:id="0" w:name="_GoBack"/>
      <w:bookmarkEnd w:id="0"/>
      <w:r>
        <w:t xml:space="preserve">Мета стандартизації та основні принципи державної політики у </w:t>
      </w:r>
      <w:r w:rsidRPr="00EC6CFC">
        <w:rPr>
          <w:lang w:val="ru-RU"/>
        </w:rPr>
        <w:t xml:space="preserve">           </w:t>
      </w:r>
      <w:r>
        <w:t>сфері</w:t>
      </w:r>
      <w:r>
        <w:rPr>
          <w:spacing w:val="-1"/>
        </w:rPr>
        <w:t xml:space="preserve"> </w:t>
      </w:r>
      <w:r>
        <w:t>стандартизації</w:t>
      </w:r>
    </w:p>
    <w:p w:rsidR="00EC6CFC" w:rsidRDefault="00EC6CFC" w:rsidP="00EC6CFC">
      <w:pPr>
        <w:pStyle w:val="a3"/>
        <w:spacing w:before="6"/>
        <w:ind w:left="0"/>
        <w:jc w:val="left"/>
        <w:rPr>
          <w:b/>
          <w:sz w:val="27"/>
        </w:rPr>
      </w:pPr>
    </w:p>
    <w:p w:rsidR="00EC6CFC" w:rsidRDefault="00EC6CFC" w:rsidP="00EC6CFC">
      <w:pPr>
        <w:pStyle w:val="a3"/>
        <w:spacing w:line="322" w:lineRule="exact"/>
        <w:ind w:left="1026"/>
        <w:jc w:val="left"/>
      </w:pPr>
      <w:r>
        <w:t>Метою стандартизації в Україні є:</w:t>
      </w:r>
    </w:p>
    <w:p w:rsidR="00EC6CFC" w:rsidRDefault="00EC6CFC" w:rsidP="00EC6CFC">
      <w:pPr>
        <w:pStyle w:val="a5"/>
        <w:numPr>
          <w:ilvl w:val="3"/>
          <w:numId w:val="2"/>
        </w:numPr>
        <w:tabs>
          <w:tab w:val="left" w:pos="1542"/>
          <w:tab w:val="left" w:pos="1543"/>
          <w:tab w:val="left" w:pos="3400"/>
          <w:tab w:val="left" w:pos="5291"/>
          <w:tab w:val="left" w:pos="6537"/>
          <w:tab w:val="left" w:pos="8558"/>
        </w:tabs>
        <w:ind w:right="652" w:firstLine="707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відповідності</w:t>
      </w:r>
      <w:r>
        <w:rPr>
          <w:sz w:val="28"/>
        </w:rPr>
        <w:tab/>
        <w:t>об’єктів</w:t>
      </w:r>
      <w:r>
        <w:rPr>
          <w:sz w:val="28"/>
        </w:rPr>
        <w:tab/>
        <w:t>стандартизації</w:t>
      </w:r>
      <w:r>
        <w:rPr>
          <w:sz w:val="28"/>
        </w:rPr>
        <w:tab/>
      </w:r>
      <w:r>
        <w:rPr>
          <w:spacing w:val="-4"/>
          <w:sz w:val="28"/>
        </w:rPr>
        <w:t xml:space="preserve">своєму </w:t>
      </w:r>
      <w:r>
        <w:rPr>
          <w:sz w:val="28"/>
        </w:rPr>
        <w:t>призначенню;</w:t>
      </w:r>
    </w:p>
    <w:p w:rsidR="00EC6CFC" w:rsidRDefault="00EC6CFC" w:rsidP="00EC6CFC">
      <w:pPr>
        <w:pStyle w:val="a5"/>
        <w:numPr>
          <w:ilvl w:val="3"/>
          <w:numId w:val="2"/>
        </w:numPr>
        <w:tabs>
          <w:tab w:val="left" w:pos="1729"/>
          <w:tab w:val="left" w:pos="1731"/>
          <w:tab w:val="left" w:pos="3424"/>
          <w:tab w:val="left" w:pos="5915"/>
          <w:tab w:val="left" w:pos="8075"/>
        </w:tabs>
        <w:spacing w:before="1"/>
        <w:ind w:left="319" w:right="650" w:firstLine="707"/>
        <w:rPr>
          <w:sz w:val="28"/>
        </w:rPr>
      </w:pPr>
      <w:r>
        <w:rPr>
          <w:sz w:val="28"/>
        </w:rPr>
        <w:t>керування</w:t>
      </w:r>
      <w:r>
        <w:rPr>
          <w:sz w:val="28"/>
        </w:rPr>
        <w:tab/>
        <w:t>різноманітністю,</w:t>
      </w:r>
      <w:r>
        <w:rPr>
          <w:sz w:val="28"/>
        </w:rPr>
        <w:tab/>
        <w:t>застосовність,</w:t>
      </w:r>
      <w:r>
        <w:rPr>
          <w:sz w:val="28"/>
        </w:rPr>
        <w:tab/>
      </w:r>
      <w:r>
        <w:rPr>
          <w:spacing w:val="-3"/>
          <w:sz w:val="28"/>
        </w:rPr>
        <w:t xml:space="preserve">сумісність, </w:t>
      </w:r>
      <w:r>
        <w:rPr>
          <w:sz w:val="28"/>
        </w:rPr>
        <w:t>взаємозамінність об’єктів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стандартизації;</w:t>
      </w:r>
    </w:p>
    <w:p w:rsidR="00EC6CFC" w:rsidRDefault="00EC6CFC" w:rsidP="00EC6CFC">
      <w:pPr>
        <w:pStyle w:val="a5"/>
        <w:numPr>
          <w:ilvl w:val="3"/>
          <w:numId w:val="2"/>
        </w:numPr>
        <w:tabs>
          <w:tab w:val="left" w:pos="1421"/>
        </w:tabs>
        <w:ind w:left="319" w:right="651" w:firstLine="707"/>
        <w:rPr>
          <w:sz w:val="28"/>
        </w:rPr>
      </w:pPr>
      <w:r>
        <w:rPr>
          <w:sz w:val="28"/>
        </w:rPr>
        <w:t>забезпечення раціонального виробництва шляхом застосування визнаних правил, настанов і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:rsidR="00EC6CFC" w:rsidRDefault="00EC6CFC" w:rsidP="00EC6CFC">
      <w:pPr>
        <w:pStyle w:val="a5"/>
        <w:numPr>
          <w:ilvl w:val="3"/>
          <w:numId w:val="2"/>
        </w:numPr>
        <w:tabs>
          <w:tab w:val="left" w:pos="1332"/>
        </w:tabs>
        <w:spacing w:line="321" w:lineRule="exact"/>
        <w:ind w:left="1331" w:hanging="306"/>
        <w:rPr>
          <w:sz w:val="28"/>
        </w:rPr>
      </w:pPr>
      <w:r>
        <w:rPr>
          <w:sz w:val="28"/>
        </w:rPr>
        <w:t>забезпечення охорони життя та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здоров’я;</w:t>
      </w:r>
    </w:p>
    <w:p w:rsidR="00EC6CFC" w:rsidRDefault="00EC6CFC" w:rsidP="00EC6CFC">
      <w:pPr>
        <w:pStyle w:val="a5"/>
        <w:numPr>
          <w:ilvl w:val="3"/>
          <w:numId w:val="2"/>
        </w:numPr>
        <w:tabs>
          <w:tab w:val="left" w:pos="1332"/>
        </w:tabs>
        <w:spacing w:line="322" w:lineRule="exact"/>
        <w:ind w:left="1331" w:hanging="306"/>
        <w:rPr>
          <w:sz w:val="28"/>
        </w:rPr>
      </w:pPr>
      <w:r>
        <w:rPr>
          <w:sz w:val="28"/>
        </w:rPr>
        <w:t>забезпечення прав та інтересів</w:t>
      </w:r>
      <w:r>
        <w:rPr>
          <w:spacing w:val="-9"/>
          <w:sz w:val="28"/>
        </w:rPr>
        <w:t xml:space="preserve"> </w:t>
      </w:r>
      <w:r>
        <w:rPr>
          <w:sz w:val="28"/>
        </w:rPr>
        <w:t>споживачів;</w:t>
      </w:r>
    </w:p>
    <w:p w:rsidR="00EC6CFC" w:rsidRDefault="00EC6CFC" w:rsidP="00EC6CFC">
      <w:pPr>
        <w:pStyle w:val="a5"/>
        <w:numPr>
          <w:ilvl w:val="3"/>
          <w:numId w:val="2"/>
        </w:numPr>
        <w:tabs>
          <w:tab w:val="left" w:pos="1332"/>
        </w:tabs>
        <w:spacing w:before="1" w:line="322" w:lineRule="exact"/>
        <w:ind w:left="1331" w:hanging="306"/>
        <w:rPr>
          <w:sz w:val="28"/>
        </w:rPr>
      </w:pPr>
      <w:r>
        <w:rPr>
          <w:sz w:val="28"/>
        </w:rPr>
        <w:t>забезпечення безпечності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праці;</w:t>
      </w:r>
    </w:p>
    <w:p w:rsidR="00EC6CFC" w:rsidRDefault="00EC6CFC" w:rsidP="00EC6CFC">
      <w:pPr>
        <w:pStyle w:val="a5"/>
        <w:numPr>
          <w:ilvl w:val="3"/>
          <w:numId w:val="2"/>
        </w:numPr>
        <w:tabs>
          <w:tab w:val="left" w:pos="1414"/>
        </w:tabs>
        <w:ind w:left="319" w:right="651" w:firstLine="707"/>
        <w:jc w:val="both"/>
        <w:rPr>
          <w:sz w:val="28"/>
        </w:rPr>
      </w:pPr>
      <w:r>
        <w:rPr>
          <w:sz w:val="28"/>
        </w:rPr>
        <w:t>збереження навколишнього природного середовища і економія всіх 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EC6CFC" w:rsidRDefault="00EC6CFC" w:rsidP="00EC6CFC">
      <w:pPr>
        <w:pStyle w:val="a5"/>
        <w:numPr>
          <w:ilvl w:val="3"/>
          <w:numId w:val="2"/>
        </w:numPr>
        <w:tabs>
          <w:tab w:val="left" w:pos="1500"/>
        </w:tabs>
        <w:ind w:left="319" w:right="651" w:firstLine="707"/>
        <w:jc w:val="both"/>
        <w:rPr>
          <w:sz w:val="28"/>
        </w:rPr>
      </w:pPr>
      <w:r>
        <w:rPr>
          <w:sz w:val="28"/>
        </w:rPr>
        <w:t>усунення технічних бар’єрів у торгівлі та запобігання їх виникненню, підтримка розвитку і міжнародної конкурентоспроможності продукції.</w:t>
      </w:r>
    </w:p>
    <w:p w:rsidR="00EC6CFC" w:rsidRDefault="00EC6CFC" w:rsidP="00EC6CFC">
      <w:pPr>
        <w:pStyle w:val="a3"/>
        <w:spacing w:before="73"/>
        <w:ind w:right="652" w:firstLine="707"/>
      </w:pPr>
      <w:r>
        <w:t>Державна політика у сфері стандартизації базується на збалансованому застосуванні таких принципів: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411"/>
        </w:tabs>
        <w:ind w:right="652" w:firstLine="707"/>
        <w:jc w:val="both"/>
        <w:rPr>
          <w:sz w:val="28"/>
        </w:rPr>
      </w:pPr>
      <w:r>
        <w:rPr>
          <w:sz w:val="28"/>
        </w:rPr>
        <w:t>забезпечення участі фізичних і юридичних осіб у розробленні національних стандартів та кодексів усталеної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445"/>
        </w:tabs>
        <w:ind w:right="652" w:firstLine="707"/>
        <w:jc w:val="both"/>
        <w:rPr>
          <w:sz w:val="28"/>
        </w:rPr>
      </w:pPr>
      <w:r>
        <w:rPr>
          <w:sz w:val="28"/>
        </w:rPr>
        <w:t>відкритості та прозорості процедур розроблення і прийняття національних стандартів та кодексів усталеної практики з урахуванням інтересів усіх заінтересованих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392"/>
        </w:tabs>
        <w:ind w:left="319" w:right="649" w:firstLine="707"/>
        <w:jc w:val="both"/>
        <w:rPr>
          <w:sz w:val="28"/>
        </w:rPr>
      </w:pPr>
      <w:r>
        <w:rPr>
          <w:sz w:val="28"/>
        </w:rPr>
        <w:t>неупередженого прийняття національних стандартів та кодексів усталеної практики на засадах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консенсусу;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375"/>
        </w:tabs>
        <w:ind w:left="319" w:right="651" w:firstLine="707"/>
        <w:jc w:val="both"/>
        <w:rPr>
          <w:sz w:val="28"/>
        </w:rPr>
      </w:pPr>
      <w:r>
        <w:rPr>
          <w:sz w:val="28"/>
        </w:rPr>
        <w:t>добровільного застосування національних стандартів та кодексів усталеної практики, якщо інше не передбачено нормативно-правовими актами;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469"/>
        </w:tabs>
        <w:ind w:left="319" w:right="651" w:firstLine="707"/>
        <w:jc w:val="both"/>
        <w:rPr>
          <w:sz w:val="28"/>
        </w:rPr>
      </w:pPr>
      <w:r>
        <w:rPr>
          <w:sz w:val="28"/>
        </w:rPr>
        <w:t>відповідності національних стандартів та кодексів усталеної 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законодавству;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462"/>
        </w:tabs>
        <w:ind w:left="319" w:right="651" w:firstLine="707"/>
        <w:jc w:val="both"/>
        <w:rPr>
          <w:sz w:val="28"/>
        </w:rPr>
      </w:pPr>
      <w:r>
        <w:rPr>
          <w:sz w:val="28"/>
        </w:rPr>
        <w:t>адаптації до сучасних досягнень науки і техніки, сприяння впровадженню інновацій та підвищення конкурентоспроможності продукції вітчизняних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виробників;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498"/>
        </w:tabs>
        <w:spacing w:line="242" w:lineRule="auto"/>
        <w:ind w:left="319" w:right="651" w:firstLine="707"/>
        <w:jc w:val="both"/>
        <w:rPr>
          <w:sz w:val="28"/>
        </w:rPr>
      </w:pPr>
      <w:r>
        <w:rPr>
          <w:sz w:val="28"/>
        </w:rPr>
        <w:t>доступності національних стандартів та кодексів усталеної практики, а також інформації про них для</w:t>
      </w:r>
      <w:r>
        <w:rPr>
          <w:spacing w:val="-10"/>
          <w:sz w:val="28"/>
        </w:rPr>
        <w:t xml:space="preserve"> </w:t>
      </w:r>
      <w:r>
        <w:rPr>
          <w:sz w:val="28"/>
        </w:rPr>
        <w:t>користувачів;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380"/>
        </w:tabs>
        <w:ind w:left="319" w:right="652" w:firstLine="707"/>
        <w:jc w:val="both"/>
        <w:rPr>
          <w:sz w:val="28"/>
        </w:rPr>
      </w:pPr>
      <w:r>
        <w:rPr>
          <w:sz w:val="28"/>
        </w:rPr>
        <w:t>пріоритетності прийняття в Україні міжнародних і регіональних стандартів та кодексів усталеної практики як</w:t>
      </w:r>
      <w:r>
        <w:rPr>
          <w:spacing w:val="-9"/>
          <w:sz w:val="28"/>
        </w:rPr>
        <w:t xml:space="preserve"> </w:t>
      </w:r>
      <w:r>
        <w:rPr>
          <w:sz w:val="28"/>
        </w:rPr>
        <w:t>національних;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448"/>
        </w:tabs>
        <w:ind w:left="319" w:right="652" w:firstLine="707"/>
        <w:jc w:val="both"/>
        <w:rPr>
          <w:sz w:val="28"/>
        </w:rPr>
      </w:pPr>
      <w:r>
        <w:rPr>
          <w:sz w:val="28"/>
        </w:rPr>
        <w:t>дотриманні міжнародних та регіональних правил і процедур стандартизації;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474"/>
        </w:tabs>
        <w:spacing w:line="321" w:lineRule="exact"/>
        <w:ind w:left="1473" w:hanging="447"/>
        <w:jc w:val="both"/>
        <w:rPr>
          <w:sz w:val="28"/>
        </w:rPr>
      </w:pPr>
      <w:r>
        <w:rPr>
          <w:sz w:val="28"/>
        </w:rPr>
        <w:lastRenderedPageBreak/>
        <w:t>участі в міжнародній та регіональній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стандартизації;</w:t>
      </w:r>
    </w:p>
    <w:p w:rsidR="00EC6CFC" w:rsidRDefault="00EC6CFC" w:rsidP="00EC6CFC">
      <w:pPr>
        <w:pStyle w:val="a5"/>
        <w:numPr>
          <w:ilvl w:val="0"/>
          <w:numId w:val="1"/>
        </w:numPr>
        <w:tabs>
          <w:tab w:val="left" w:pos="1599"/>
        </w:tabs>
        <w:ind w:left="319" w:right="649" w:firstLine="707"/>
        <w:jc w:val="both"/>
        <w:rPr>
          <w:sz w:val="24"/>
        </w:rPr>
      </w:pPr>
      <w:r>
        <w:rPr>
          <w:sz w:val="28"/>
        </w:rPr>
        <w:t xml:space="preserve">прийняття і дотримання суб’єктами стандартизації Кодексу доброчинної практики з розробки, прийняття та застосування стандартів відповідно до </w:t>
      </w:r>
      <w:hyperlink r:id="rId6">
        <w:r>
          <w:rPr>
            <w:sz w:val="28"/>
          </w:rPr>
          <w:t>Угоди Світової організації торгівлі про технічні бар’єри у</w:t>
        </w:r>
      </w:hyperlink>
      <w:hyperlink r:id="rId7">
        <w:r>
          <w:rPr>
            <w:sz w:val="28"/>
          </w:rPr>
          <w:t xml:space="preserve"> торгівлі</w:t>
        </w:r>
      </w:hyperlink>
      <w:r>
        <w:rPr>
          <w:sz w:val="28"/>
        </w:rPr>
        <w:t xml:space="preserve">, що є додатком до </w:t>
      </w:r>
      <w:hyperlink r:id="rId8">
        <w:r>
          <w:rPr>
            <w:sz w:val="28"/>
          </w:rPr>
          <w:t>Марракеської Угоди про заснування Світової</w:t>
        </w:r>
      </w:hyperlink>
      <w:hyperlink r:id="rId9">
        <w:r>
          <w:rPr>
            <w:sz w:val="28"/>
          </w:rPr>
          <w:t xml:space="preserve"> організації торгівлі </w:t>
        </w:r>
      </w:hyperlink>
      <w:r>
        <w:rPr>
          <w:sz w:val="28"/>
        </w:rPr>
        <w:t>від 15 квітня 1994</w:t>
      </w:r>
      <w:r>
        <w:rPr>
          <w:spacing w:val="-8"/>
          <w:sz w:val="28"/>
        </w:rPr>
        <w:t xml:space="preserve"> </w:t>
      </w:r>
      <w:r>
        <w:rPr>
          <w:sz w:val="28"/>
        </w:rPr>
        <w:t>року</w:t>
      </w:r>
      <w:r>
        <w:rPr>
          <w:sz w:val="24"/>
        </w:rPr>
        <w:t>.</w:t>
      </w:r>
    </w:p>
    <w:p w:rsidR="00EC6CFC" w:rsidRDefault="00EC6CFC" w:rsidP="00EC6CFC">
      <w:pPr>
        <w:pStyle w:val="a5"/>
        <w:tabs>
          <w:tab w:val="left" w:pos="1599"/>
        </w:tabs>
        <w:ind w:left="1026" w:right="649" w:firstLine="0"/>
        <w:jc w:val="both"/>
        <w:rPr>
          <w:sz w:val="24"/>
          <w:lang w:val="en-US"/>
        </w:rPr>
      </w:pPr>
    </w:p>
    <w:p w:rsidR="00EC6CFC" w:rsidRPr="00EC6CFC" w:rsidRDefault="00EC6CFC" w:rsidP="00EC6CFC">
      <w:pPr>
        <w:tabs>
          <w:tab w:val="left" w:pos="1599"/>
        </w:tabs>
        <w:ind w:right="649" w:hanging="318"/>
        <w:jc w:val="both"/>
        <w:rPr>
          <w:b/>
          <w:sz w:val="28"/>
          <w:szCs w:val="28"/>
          <w:lang w:val="ru-RU"/>
        </w:rPr>
      </w:pPr>
      <w:r w:rsidRPr="00EC6CFC">
        <w:rPr>
          <w:b/>
          <w:sz w:val="28"/>
          <w:szCs w:val="28"/>
        </w:rPr>
        <w:t xml:space="preserve">Законспектувати та вивчити лекцію. Конспекти надсилати на е- </w:t>
      </w:r>
      <w:hyperlink r:id="rId10" w:history="1">
        <w:r w:rsidRPr="00EC6CFC">
          <w:rPr>
            <w:rStyle w:val="a6"/>
            <w:b/>
            <w:sz w:val="28"/>
            <w:szCs w:val="28"/>
          </w:rPr>
          <w:t>пошту-</w:t>
        </w:r>
        <w:r w:rsidRPr="00EC6CFC">
          <w:rPr>
            <w:rStyle w:val="a6"/>
            <w:b/>
            <w:sz w:val="28"/>
            <w:szCs w:val="28"/>
            <w:lang w:val="en-US"/>
          </w:rPr>
          <w:t>lukianenko</w:t>
        </w:r>
        <w:r w:rsidRPr="00EC6CFC">
          <w:rPr>
            <w:rStyle w:val="a6"/>
            <w:b/>
            <w:sz w:val="28"/>
            <w:szCs w:val="28"/>
            <w:lang w:val="ru-RU"/>
          </w:rPr>
          <w:t>74@</w:t>
        </w:r>
        <w:r w:rsidRPr="00EC6CFC">
          <w:rPr>
            <w:rStyle w:val="a6"/>
            <w:b/>
            <w:sz w:val="28"/>
            <w:szCs w:val="28"/>
            <w:lang w:val="en-US"/>
          </w:rPr>
          <w:t>ukr</w:t>
        </w:r>
        <w:r w:rsidRPr="00EC6CFC">
          <w:rPr>
            <w:rStyle w:val="a6"/>
            <w:b/>
            <w:sz w:val="28"/>
            <w:szCs w:val="28"/>
            <w:lang w:val="ru-RU"/>
          </w:rPr>
          <w:t>.</w:t>
        </w:r>
        <w:r w:rsidRPr="00EC6CFC">
          <w:rPr>
            <w:rStyle w:val="a6"/>
            <w:b/>
            <w:sz w:val="28"/>
            <w:szCs w:val="28"/>
            <w:lang w:val="en-US"/>
          </w:rPr>
          <w:t>net</w:t>
        </w:r>
      </w:hyperlink>
    </w:p>
    <w:p w:rsidR="00EC6CFC" w:rsidRPr="00EC6CFC" w:rsidRDefault="00EC6CFC" w:rsidP="00EC6CFC">
      <w:pPr>
        <w:pStyle w:val="a5"/>
        <w:tabs>
          <w:tab w:val="left" w:pos="1599"/>
        </w:tabs>
        <w:ind w:left="1026" w:right="649" w:firstLine="0"/>
        <w:jc w:val="both"/>
        <w:rPr>
          <w:b/>
          <w:sz w:val="28"/>
          <w:szCs w:val="28"/>
          <w:lang w:val="ru-RU"/>
        </w:rPr>
      </w:pPr>
    </w:p>
    <w:p w:rsidR="00EC6CFC" w:rsidRDefault="00EC6CFC" w:rsidP="00EC6CFC">
      <w:pPr>
        <w:pStyle w:val="a3"/>
        <w:spacing w:before="9"/>
        <w:ind w:left="0"/>
        <w:jc w:val="left"/>
        <w:rPr>
          <w:sz w:val="27"/>
        </w:rPr>
      </w:pPr>
    </w:p>
    <w:p w:rsidR="00332F91" w:rsidRDefault="00332F91"/>
    <w:sectPr w:rsidR="0033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4F6"/>
    <w:multiLevelType w:val="hybridMultilevel"/>
    <w:tmpl w:val="A9861926"/>
    <w:lvl w:ilvl="0" w:tplc="3EF6F000">
      <w:start w:val="1"/>
      <w:numFmt w:val="decimal"/>
      <w:lvlText w:val="%1)"/>
      <w:lvlJc w:val="left"/>
      <w:pPr>
        <w:ind w:left="318" w:hanging="3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93C6106">
      <w:numFmt w:val="bullet"/>
      <w:lvlText w:val="•"/>
      <w:lvlJc w:val="left"/>
      <w:pPr>
        <w:ind w:left="1292" w:hanging="384"/>
      </w:pPr>
      <w:rPr>
        <w:rFonts w:hint="default"/>
        <w:lang w:val="uk-UA" w:eastAsia="uk-UA" w:bidi="uk-UA"/>
      </w:rPr>
    </w:lvl>
    <w:lvl w:ilvl="2" w:tplc="8096A3CC">
      <w:numFmt w:val="bullet"/>
      <w:lvlText w:val="•"/>
      <w:lvlJc w:val="left"/>
      <w:pPr>
        <w:ind w:left="2265" w:hanging="384"/>
      </w:pPr>
      <w:rPr>
        <w:rFonts w:hint="default"/>
        <w:lang w:val="uk-UA" w:eastAsia="uk-UA" w:bidi="uk-UA"/>
      </w:rPr>
    </w:lvl>
    <w:lvl w:ilvl="3" w:tplc="4EE87074">
      <w:numFmt w:val="bullet"/>
      <w:lvlText w:val="•"/>
      <w:lvlJc w:val="left"/>
      <w:pPr>
        <w:ind w:left="3237" w:hanging="384"/>
      </w:pPr>
      <w:rPr>
        <w:rFonts w:hint="default"/>
        <w:lang w:val="uk-UA" w:eastAsia="uk-UA" w:bidi="uk-UA"/>
      </w:rPr>
    </w:lvl>
    <w:lvl w:ilvl="4" w:tplc="A924545A">
      <w:numFmt w:val="bullet"/>
      <w:lvlText w:val="•"/>
      <w:lvlJc w:val="left"/>
      <w:pPr>
        <w:ind w:left="4210" w:hanging="384"/>
      </w:pPr>
      <w:rPr>
        <w:rFonts w:hint="default"/>
        <w:lang w:val="uk-UA" w:eastAsia="uk-UA" w:bidi="uk-UA"/>
      </w:rPr>
    </w:lvl>
    <w:lvl w:ilvl="5" w:tplc="92CE823E">
      <w:numFmt w:val="bullet"/>
      <w:lvlText w:val="•"/>
      <w:lvlJc w:val="left"/>
      <w:pPr>
        <w:ind w:left="5183" w:hanging="384"/>
      </w:pPr>
      <w:rPr>
        <w:rFonts w:hint="default"/>
        <w:lang w:val="uk-UA" w:eastAsia="uk-UA" w:bidi="uk-UA"/>
      </w:rPr>
    </w:lvl>
    <w:lvl w:ilvl="6" w:tplc="0DA28236">
      <w:numFmt w:val="bullet"/>
      <w:lvlText w:val="•"/>
      <w:lvlJc w:val="left"/>
      <w:pPr>
        <w:ind w:left="6155" w:hanging="384"/>
      </w:pPr>
      <w:rPr>
        <w:rFonts w:hint="default"/>
        <w:lang w:val="uk-UA" w:eastAsia="uk-UA" w:bidi="uk-UA"/>
      </w:rPr>
    </w:lvl>
    <w:lvl w:ilvl="7" w:tplc="BD32B13A">
      <w:numFmt w:val="bullet"/>
      <w:lvlText w:val="•"/>
      <w:lvlJc w:val="left"/>
      <w:pPr>
        <w:ind w:left="7128" w:hanging="384"/>
      </w:pPr>
      <w:rPr>
        <w:rFonts w:hint="default"/>
        <w:lang w:val="uk-UA" w:eastAsia="uk-UA" w:bidi="uk-UA"/>
      </w:rPr>
    </w:lvl>
    <w:lvl w:ilvl="8" w:tplc="AA02BCE8">
      <w:numFmt w:val="bullet"/>
      <w:lvlText w:val="•"/>
      <w:lvlJc w:val="left"/>
      <w:pPr>
        <w:ind w:left="8101" w:hanging="384"/>
      </w:pPr>
      <w:rPr>
        <w:rFonts w:hint="default"/>
        <w:lang w:val="uk-UA" w:eastAsia="uk-UA" w:bidi="uk-UA"/>
      </w:rPr>
    </w:lvl>
  </w:abstractNum>
  <w:abstractNum w:abstractNumId="1">
    <w:nsid w:val="5DFB28C8"/>
    <w:multiLevelType w:val="hybridMultilevel"/>
    <w:tmpl w:val="89E6A9BE"/>
    <w:lvl w:ilvl="0" w:tplc="4910682E">
      <w:start w:val="1"/>
      <w:numFmt w:val="decimal"/>
      <w:lvlText w:val="%1."/>
      <w:lvlJc w:val="left"/>
      <w:pPr>
        <w:ind w:left="3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F72D8E4">
      <w:start w:val="1"/>
      <w:numFmt w:val="decimal"/>
      <w:lvlText w:val="%2."/>
      <w:lvlJc w:val="left"/>
      <w:pPr>
        <w:ind w:left="318" w:hanging="7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41A6EF5E">
      <w:start w:val="35"/>
      <w:numFmt w:val="decimal"/>
      <w:lvlText w:val="%3."/>
      <w:lvlJc w:val="left"/>
      <w:pPr>
        <w:ind w:left="3772" w:hanging="42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3" w:tplc="9DB24BFE">
      <w:start w:val="1"/>
      <w:numFmt w:val="decimal"/>
      <w:lvlText w:val="%4)"/>
      <w:lvlJc w:val="left"/>
      <w:pPr>
        <w:ind w:left="318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4" w:tplc="9F6C70A4">
      <w:numFmt w:val="bullet"/>
      <w:lvlText w:val="•"/>
      <w:lvlJc w:val="left"/>
      <w:pPr>
        <w:ind w:left="5346" w:hanging="516"/>
      </w:pPr>
      <w:rPr>
        <w:rFonts w:hint="default"/>
        <w:lang w:val="uk-UA" w:eastAsia="uk-UA" w:bidi="uk-UA"/>
      </w:rPr>
    </w:lvl>
    <w:lvl w:ilvl="5" w:tplc="D15A03D4">
      <w:numFmt w:val="bullet"/>
      <w:lvlText w:val="•"/>
      <w:lvlJc w:val="left"/>
      <w:pPr>
        <w:ind w:left="6129" w:hanging="516"/>
      </w:pPr>
      <w:rPr>
        <w:rFonts w:hint="default"/>
        <w:lang w:val="uk-UA" w:eastAsia="uk-UA" w:bidi="uk-UA"/>
      </w:rPr>
    </w:lvl>
    <w:lvl w:ilvl="6" w:tplc="418AA012">
      <w:numFmt w:val="bullet"/>
      <w:lvlText w:val="•"/>
      <w:lvlJc w:val="left"/>
      <w:pPr>
        <w:ind w:left="6913" w:hanging="516"/>
      </w:pPr>
      <w:rPr>
        <w:rFonts w:hint="default"/>
        <w:lang w:val="uk-UA" w:eastAsia="uk-UA" w:bidi="uk-UA"/>
      </w:rPr>
    </w:lvl>
    <w:lvl w:ilvl="7" w:tplc="68BA4074">
      <w:numFmt w:val="bullet"/>
      <w:lvlText w:val="•"/>
      <w:lvlJc w:val="left"/>
      <w:pPr>
        <w:ind w:left="7696" w:hanging="516"/>
      </w:pPr>
      <w:rPr>
        <w:rFonts w:hint="default"/>
        <w:lang w:val="uk-UA" w:eastAsia="uk-UA" w:bidi="uk-UA"/>
      </w:rPr>
    </w:lvl>
    <w:lvl w:ilvl="8" w:tplc="1B503B42">
      <w:numFmt w:val="bullet"/>
      <w:lvlText w:val="•"/>
      <w:lvlJc w:val="left"/>
      <w:pPr>
        <w:ind w:left="8479" w:hanging="516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FC"/>
    <w:rsid w:val="00332F91"/>
    <w:rsid w:val="00E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EC6CFC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C6CFC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EC6CFC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6CF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EC6CFC"/>
    <w:pPr>
      <w:ind w:left="318" w:hanging="361"/>
    </w:pPr>
  </w:style>
  <w:style w:type="character" w:styleId="a6">
    <w:name w:val="Hyperlink"/>
    <w:basedOn w:val="a0"/>
    <w:uiPriority w:val="99"/>
    <w:unhideWhenUsed/>
    <w:rsid w:val="00EC6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EC6CFC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C6CFC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EC6CFC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6CF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EC6CFC"/>
    <w:pPr>
      <w:ind w:left="318" w:hanging="361"/>
    </w:pPr>
  </w:style>
  <w:style w:type="character" w:styleId="a6">
    <w:name w:val="Hyperlink"/>
    <w:basedOn w:val="a0"/>
    <w:uiPriority w:val="99"/>
    <w:unhideWhenUsed/>
    <w:rsid w:val="00EC6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5_3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981_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81_0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087;&#1086;&#1096;&#1090;&#1091;-lukianenko74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995_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2021-02-02T15:30:00Z</dcterms:created>
  <dcterms:modified xsi:type="dcterms:W3CDTF">2021-02-02T15:34:00Z</dcterms:modified>
</cp:coreProperties>
</file>