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315" w:rsidRPr="00FF4315" w:rsidRDefault="00FF4315" w:rsidP="00FF4315">
      <w:pPr>
        <w:pStyle w:val="2"/>
        <w:tabs>
          <w:tab w:val="left" w:pos="1904"/>
        </w:tabs>
        <w:spacing w:before="139"/>
        <w:ind w:left="0" w:right="1178"/>
      </w:pPr>
      <w:r>
        <w:t xml:space="preserve">  </w:t>
      </w:r>
      <w:r w:rsidRPr="00FF4315">
        <w:t xml:space="preserve">10.02.2021. </w:t>
      </w:r>
      <w:r>
        <w:t xml:space="preserve"> </w:t>
      </w:r>
      <w:proofErr w:type="spellStart"/>
      <w:proofErr w:type="gramStart"/>
      <w:r>
        <w:t>Гр</w:t>
      </w:r>
      <w:proofErr w:type="spellEnd"/>
      <w:proofErr w:type="gramEnd"/>
      <w:r>
        <w:t xml:space="preserve"> 2Б-1. Метрологія і стандартизація. </w:t>
      </w:r>
      <w:proofErr w:type="spellStart"/>
      <w:r>
        <w:t>Лук՚яненко</w:t>
      </w:r>
      <w:proofErr w:type="spellEnd"/>
      <w:r>
        <w:t xml:space="preserve"> С. І.     Урок  31</w:t>
      </w:r>
    </w:p>
    <w:p w:rsidR="00FF4315" w:rsidRPr="00FF4315" w:rsidRDefault="00FF4315" w:rsidP="00FF4315">
      <w:pPr>
        <w:pStyle w:val="2"/>
        <w:tabs>
          <w:tab w:val="left" w:pos="1904"/>
        </w:tabs>
        <w:spacing w:before="139"/>
        <w:ind w:right="1178"/>
        <w:rPr>
          <w:i/>
        </w:rPr>
      </w:pPr>
      <w:r w:rsidRPr="00FF4315">
        <w:t>Функції</w:t>
      </w:r>
      <w:r w:rsidRPr="00FF4315">
        <w:rPr>
          <w:i/>
        </w:rPr>
        <w:t xml:space="preserve"> </w:t>
      </w:r>
      <w:proofErr w:type="spellStart"/>
      <w:r w:rsidRPr="00FF4315">
        <w:rPr>
          <w:i/>
        </w:rPr>
        <w:t>Мінекономрозвитку</w:t>
      </w:r>
      <w:proofErr w:type="spellEnd"/>
      <w:r w:rsidRPr="00FF4315">
        <w:rPr>
          <w:i/>
        </w:rPr>
        <w:t xml:space="preserve"> та </w:t>
      </w:r>
      <w:proofErr w:type="spellStart"/>
      <w:r w:rsidRPr="00FF4315">
        <w:rPr>
          <w:i/>
        </w:rPr>
        <w:t>Мінрегіонбуду</w:t>
      </w:r>
      <w:proofErr w:type="spellEnd"/>
      <w:r w:rsidRPr="00FF4315">
        <w:rPr>
          <w:i/>
        </w:rPr>
        <w:t xml:space="preserve"> у сфері стандартизації</w:t>
      </w:r>
      <w:r w:rsidRPr="00FF4315">
        <w:rPr>
          <w:i/>
          <w:spacing w:val="-3"/>
        </w:rPr>
        <w:t xml:space="preserve"> </w:t>
      </w:r>
      <w:r w:rsidRPr="00FF4315">
        <w:rPr>
          <w:i/>
        </w:rPr>
        <w:t>будівництва</w:t>
      </w:r>
    </w:p>
    <w:p w:rsidR="00FF4315" w:rsidRDefault="00FF4315" w:rsidP="00FF4315">
      <w:pPr>
        <w:pStyle w:val="a3"/>
        <w:spacing w:before="5"/>
        <w:ind w:left="0"/>
        <w:jc w:val="left"/>
        <w:rPr>
          <w:b/>
          <w:sz w:val="27"/>
        </w:rPr>
      </w:pPr>
    </w:p>
    <w:p w:rsidR="00FF4315" w:rsidRDefault="00FF4315" w:rsidP="00FF4315">
      <w:pPr>
        <w:pStyle w:val="a3"/>
        <w:spacing w:before="1"/>
        <w:ind w:left="1026"/>
      </w:pPr>
      <w:r>
        <w:t>Введення в дію з 1 січня 2016 року нової редакції закону України</w:t>
      </w:r>
    </w:p>
    <w:p w:rsidR="00FF4315" w:rsidRDefault="00FF4315" w:rsidP="00FF4315">
      <w:pPr>
        <w:pStyle w:val="a3"/>
        <w:spacing w:before="2"/>
        <w:ind w:right="651"/>
      </w:pPr>
      <w:r>
        <w:t xml:space="preserve">«Про метрологію та метрологічну діяльність», закону України «Про стандартизацію» призвів до структурних змін системи державного регулювання метрологічною діяльності, стандартизації та сертифікації, які </w:t>
      </w:r>
      <w:proofErr w:type="spellStart"/>
      <w:r>
        <w:t>спрямоваці</w:t>
      </w:r>
      <w:proofErr w:type="spellEnd"/>
      <w:r>
        <w:t xml:space="preserve"> саме на покращення якості </w:t>
      </w:r>
      <w:proofErr w:type="spellStart"/>
      <w:r>
        <w:t>продукеції</w:t>
      </w:r>
      <w:proofErr w:type="spellEnd"/>
      <w:r>
        <w:t xml:space="preserve"> в широкому розуміння слова.</w:t>
      </w:r>
    </w:p>
    <w:p w:rsidR="00FF4315" w:rsidRDefault="00FF4315" w:rsidP="00FF4315">
      <w:pPr>
        <w:pStyle w:val="a3"/>
        <w:ind w:right="651" w:firstLine="708"/>
      </w:pPr>
      <w:r>
        <w:t xml:space="preserve">До повноважень національного органу стандартизації передаються: організація та координація діяльності у сфері стандартизації, затвердження програми робіт із стандартизації, прийняття та скасування національних стандартів </w:t>
      </w:r>
      <w:r>
        <w:rPr>
          <w:b/>
        </w:rPr>
        <w:t xml:space="preserve">(у тому числі у сфері будівництва), </w:t>
      </w:r>
      <w:r>
        <w:t>утворення, припинення діяльності технічних комітетів стандартизації, представлення інтересів України в міжнародних та регіональних організаціях стандартизації та співробітництво з національними органами стандартизації інших держав.</w:t>
      </w:r>
    </w:p>
    <w:p w:rsidR="00FF4315" w:rsidRDefault="00FF4315" w:rsidP="00FF4315">
      <w:pPr>
        <w:pStyle w:val="a3"/>
        <w:ind w:right="651" w:firstLine="777"/>
      </w:pPr>
      <w:r>
        <w:t xml:space="preserve">Наразі зазначені функції виконує </w:t>
      </w:r>
      <w:proofErr w:type="spellStart"/>
      <w:r>
        <w:t>Мінекономрозвитку</w:t>
      </w:r>
      <w:proofErr w:type="spellEnd"/>
      <w:r>
        <w:t xml:space="preserve"> та у сфері будівництва </w:t>
      </w:r>
      <w:proofErr w:type="spellStart"/>
      <w:r>
        <w:t>Мінрегіон</w:t>
      </w:r>
      <w:proofErr w:type="spellEnd"/>
      <w:r>
        <w:t xml:space="preserve"> (окрім міжнародного співробітництва). Передбачає запровадження двох рівнів стандартизації залежно від суб'єкта стандартизації, який приймає стандарти:</w:t>
      </w:r>
    </w:p>
    <w:p w:rsidR="00FF4315" w:rsidRDefault="00FF4315" w:rsidP="00FF4315">
      <w:pPr>
        <w:pStyle w:val="a3"/>
        <w:ind w:right="1165" w:firstLine="359"/>
      </w:pPr>
      <w:r>
        <w:rPr>
          <w:noProof/>
          <w:lang w:val="ru-RU" w:eastAsia="ru-RU" w:bidi="ar-SA"/>
        </w:rPr>
        <w:t>-</w:t>
      </w:r>
      <w:r>
        <w:rPr>
          <w:sz w:val="20"/>
        </w:rPr>
        <w:t xml:space="preserve"> </w:t>
      </w:r>
      <w:r>
        <w:rPr>
          <w:spacing w:val="17"/>
          <w:sz w:val="20"/>
        </w:rPr>
        <w:t xml:space="preserve"> </w:t>
      </w:r>
      <w:proofErr w:type="gramStart"/>
      <w:r>
        <w:t>перший</w:t>
      </w:r>
      <w:proofErr w:type="gramEnd"/>
      <w:r>
        <w:t xml:space="preserve"> - національні стандарти, прийняті національним органом стандартизації.</w:t>
      </w:r>
    </w:p>
    <w:p w:rsidR="00FF4315" w:rsidRDefault="00FF4315" w:rsidP="00FF4315">
      <w:pPr>
        <w:pStyle w:val="a3"/>
        <w:spacing w:line="321" w:lineRule="exact"/>
        <w:ind w:left="677"/>
      </w:pPr>
      <w:r>
        <w:rPr>
          <w:noProof/>
          <w:lang w:eastAsia="ru-RU" w:bidi="ar-SA"/>
        </w:rPr>
        <w:t>-</w:t>
      </w:r>
      <w:r>
        <w:rPr>
          <w:sz w:val="20"/>
        </w:rPr>
        <w:t xml:space="preserve"> </w:t>
      </w:r>
      <w:r>
        <w:rPr>
          <w:spacing w:val="17"/>
          <w:sz w:val="20"/>
        </w:rPr>
        <w:t xml:space="preserve"> </w:t>
      </w:r>
      <w:r>
        <w:t>другий - стандарти і технічні умови, прийняті</w:t>
      </w:r>
      <w:r>
        <w:rPr>
          <w:spacing w:val="-12"/>
        </w:rPr>
        <w:t xml:space="preserve"> </w:t>
      </w:r>
      <w:r>
        <w:t>підприємствами.</w:t>
      </w:r>
    </w:p>
    <w:p w:rsidR="00FF4315" w:rsidRDefault="00FF4315" w:rsidP="00FF4315">
      <w:pPr>
        <w:pStyle w:val="a3"/>
        <w:spacing w:before="1"/>
        <w:ind w:right="652" w:firstLine="708"/>
      </w:pPr>
      <w:r>
        <w:t>Через відміну галузевої стандартизації протягом 15 років центральні органи виконавчої влади мають право перевіряти, переглядати свої галузеві стандарти з метою переведення їх на національний</w:t>
      </w:r>
      <w:r>
        <w:rPr>
          <w:spacing w:val="-17"/>
        </w:rPr>
        <w:t xml:space="preserve"> </w:t>
      </w:r>
      <w:r>
        <w:t>рівень.</w:t>
      </w:r>
    </w:p>
    <w:p w:rsidR="00FF4315" w:rsidRDefault="00FF4315" w:rsidP="00FF4315">
      <w:pPr>
        <w:pStyle w:val="a3"/>
        <w:ind w:right="651" w:firstLine="708"/>
      </w:pPr>
      <w:r>
        <w:t>Закон забороняє погодження проектів національних стандартів з державними органами, скасовує державну реєстрацію технічних умов та забороняє встановлення будь-яких правил, пов'язаних із розробленням стандартів та технічних умов підприємств.</w:t>
      </w:r>
    </w:p>
    <w:p w:rsidR="00FF4315" w:rsidRDefault="00FF4315" w:rsidP="00FF4315">
      <w:pPr>
        <w:pStyle w:val="a3"/>
        <w:ind w:right="651" w:firstLine="708"/>
      </w:pPr>
      <w:r>
        <w:t>Також скасовується обов'язковість застосування національних стандартів. Національні стандарти застосовуються на добровільній основі, за винятком випадків, коли обов'язковість їх застосування встановлена нормативно-правовими актами.</w:t>
      </w:r>
    </w:p>
    <w:p w:rsidR="00FF4315" w:rsidRDefault="00FF4315" w:rsidP="00FF4315">
      <w:pPr>
        <w:pStyle w:val="a3"/>
        <w:ind w:right="653" w:firstLine="777"/>
      </w:pPr>
      <w:r>
        <w:t>У той же час в Європейському союзі стандарт є обов'язковим у випадках, коли на нього є пряме посилання у тексті директиви ЄС.</w:t>
      </w:r>
    </w:p>
    <w:p w:rsidR="00FF4315" w:rsidRDefault="00FF4315" w:rsidP="00FF4315">
      <w:pPr>
        <w:pStyle w:val="a3"/>
        <w:ind w:right="649" w:firstLine="708"/>
      </w:pPr>
      <w:r>
        <w:t xml:space="preserve">На базі директив ЄС в Україні розробляються технічні регламенти, які є нормативно-правовими актами (затверджуються постановою Кабінету міністрів України). У разі прямого посилання на національні стандарти в інших нормативно-правових актах (зокрема у наказах державних органів </w:t>
      </w:r>
      <w:r>
        <w:lastRenderedPageBreak/>
        <w:t>влади, зареєстрованих у Мін'юсті відповідні стандарти стають обов'язковими).</w:t>
      </w:r>
    </w:p>
    <w:p w:rsidR="00FF4315" w:rsidRDefault="00FF4315" w:rsidP="00FF4315"/>
    <w:p w:rsidR="00FF4315" w:rsidRPr="00FF4315" w:rsidRDefault="00FF4315" w:rsidP="00FF4315">
      <w:pPr>
        <w:rPr>
          <w:b/>
          <w:sz w:val="28"/>
          <w:szCs w:val="28"/>
          <w:lang w:val="ru-RU"/>
        </w:rPr>
      </w:pPr>
      <w:bookmarkStart w:id="0" w:name="_GoBack"/>
      <w:r w:rsidRPr="00FF4315">
        <w:rPr>
          <w:b/>
        </w:rPr>
        <w:t xml:space="preserve"> </w:t>
      </w:r>
      <w:r w:rsidRPr="00FF4315">
        <w:rPr>
          <w:b/>
          <w:sz w:val="28"/>
          <w:szCs w:val="28"/>
        </w:rPr>
        <w:t xml:space="preserve">Законспектувати лекцію. Конспекти надсилати на </w:t>
      </w:r>
      <w:hyperlink r:id="rId6" w:history="1">
        <w:r w:rsidRPr="00FF4315">
          <w:rPr>
            <w:rStyle w:val="a7"/>
            <w:b/>
            <w:sz w:val="28"/>
            <w:szCs w:val="28"/>
          </w:rPr>
          <w:t>е-пошту-</w:t>
        </w:r>
        <w:r w:rsidRPr="00FF4315">
          <w:rPr>
            <w:rStyle w:val="a7"/>
            <w:b/>
            <w:sz w:val="28"/>
            <w:szCs w:val="28"/>
            <w:lang w:val="en-US"/>
          </w:rPr>
          <w:t>lukianenko</w:t>
        </w:r>
        <w:r w:rsidRPr="00FF4315">
          <w:rPr>
            <w:rStyle w:val="a7"/>
            <w:b/>
            <w:sz w:val="28"/>
            <w:szCs w:val="28"/>
            <w:lang w:val="ru-RU"/>
          </w:rPr>
          <w:t>74@</w:t>
        </w:r>
        <w:r w:rsidRPr="00FF4315">
          <w:rPr>
            <w:rStyle w:val="a7"/>
            <w:b/>
            <w:sz w:val="28"/>
            <w:szCs w:val="28"/>
            <w:lang w:val="en-US"/>
          </w:rPr>
          <w:t>ukr</w:t>
        </w:r>
        <w:r w:rsidRPr="00FF4315">
          <w:rPr>
            <w:rStyle w:val="a7"/>
            <w:b/>
            <w:sz w:val="28"/>
            <w:szCs w:val="28"/>
            <w:lang w:val="ru-RU"/>
          </w:rPr>
          <w:t>.</w:t>
        </w:r>
        <w:r w:rsidRPr="00FF4315">
          <w:rPr>
            <w:rStyle w:val="a7"/>
            <w:b/>
            <w:sz w:val="28"/>
            <w:szCs w:val="28"/>
            <w:lang w:val="en-US"/>
          </w:rPr>
          <w:t>net</w:t>
        </w:r>
      </w:hyperlink>
    </w:p>
    <w:p w:rsidR="00FF4315" w:rsidRPr="00FF4315" w:rsidRDefault="00FF4315" w:rsidP="00FF4315">
      <w:pPr>
        <w:rPr>
          <w:b/>
          <w:sz w:val="28"/>
          <w:szCs w:val="28"/>
          <w:lang w:val="ru-RU"/>
        </w:rPr>
      </w:pPr>
    </w:p>
    <w:bookmarkEnd w:id="0"/>
    <w:p w:rsidR="00FF4315" w:rsidRPr="00FF4315" w:rsidRDefault="00FF4315" w:rsidP="00FF4315">
      <w:pPr>
        <w:rPr>
          <w:sz w:val="28"/>
          <w:szCs w:val="28"/>
          <w:lang w:val="ru-RU"/>
        </w:rPr>
      </w:pPr>
    </w:p>
    <w:p w:rsidR="00FF4315" w:rsidRPr="00FF4315" w:rsidRDefault="00FF4315" w:rsidP="00FF4315">
      <w:pPr>
        <w:rPr>
          <w:sz w:val="28"/>
          <w:szCs w:val="28"/>
          <w:lang w:val="ru-RU"/>
        </w:rPr>
        <w:sectPr w:rsidR="00FF4315" w:rsidRPr="00FF4315">
          <w:pgSz w:w="11910" w:h="16840"/>
          <w:pgMar w:top="1580" w:right="760" w:bottom="1200" w:left="1100" w:header="0" w:footer="1005" w:gutter="0"/>
          <w:cols w:space="720"/>
        </w:sectPr>
      </w:pPr>
    </w:p>
    <w:p w:rsidR="00FF4315" w:rsidRDefault="00FF4315" w:rsidP="00FF4315">
      <w:pPr>
        <w:pStyle w:val="a3"/>
        <w:spacing w:before="73" w:line="322" w:lineRule="exact"/>
        <w:ind w:left="1026"/>
      </w:pPr>
      <w:r>
        <w:lastRenderedPageBreak/>
        <w:t>У новому Законі зазначено, що:</w:t>
      </w:r>
    </w:p>
    <w:p w:rsidR="00FF4315" w:rsidRDefault="00FF4315" w:rsidP="00FF4315">
      <w:pPr>
        <w:pStyle w:val="a3"/>
        <w:ind w:right="653" w:firstLine="708"/>
      </w:pPr>
      <w:r>
        <w:t>європейський стандарт - регіональний стандарт, прийнятий європейською організацією стандартизації;</w:t>
      </w:r>
    </w:p>
    <w:p w:rsidR="00FF4315" w:rsidRDefault="00FF4315" w:rsidP="00FF4315">
      <w:pPr>
        <w:pStyle w:val="a3"/>
        <w:ind w:right="650" w:firstLine="707"/>
      </w:pPr>
      <w:r>
        <w:t xml:space="preserve">міждержавний стандарт </w:t>
      </w:r>
      <w:r>
        <w:rPr>
          <w:b/>
        </w:rPr>
        <w:t xml:space="preserve">- </w:t>
      </w:r>
      <w:r>
        <w:t>регіональний стандарт, передбачений Угодою про проведення узгодженої політики в галузі стандартизації, метрології і сертифікації від 13 березня 1992 року та прийнятий Міждержавною радою із стандартизації, метрології і сертифікації;</w:t>
      </w:r>
    </w:p>
    <w:p w:rsidR="00FF4315" w:rsidRDefault="00FF4315" w:rsidP="00FF4315">
      <w:pPr>
        <w:pStyle w:val="a3"/>
        <w:ind w:right="654" w:firstLine="707"/>
      </w:pPr>
      <w:r>
        <w:t>міжнародний стандарт - стандарт, прийнятий Міжнародною організацією зі стандартизації і доступний для широкого кола користувачів;</w:t>
      </w:r>
    </w:p>
    <w:p w:rsidR="00FF4315" w:rsidRDefault="00FF4315" w:rsidP="00FF4315">
      <w:pPr>
        <w:pStyle w:val="a3"/>
        <w:spacing w:line="242" w:lineRule="auto"/>
        <w:ind w:right="653" w:firstLine="707"/>
      </w:pPr>
      <w:r>
        <w:t>національна стандартизація - стандартизація, що здійснюється на рівні однієї держави;</w:t>
      </w:r>
    </w:p>
    <w:p w:rsidR="00FF4315" w:rsidRDefault="00FF4315" w:rsidP="00FF4315">
      <w:pPr>
        <w:pStyle w:val="a3"/>
        <w:ind w:right="651" w:firstLine="777"/>
      </w:pPr>
      <w:r>
        <w:t>національний стандарт - стандарт, прийнятий національним органом стандартизації та доступний для широкого кола користувачів.</w:t>
      </w:r>
    </w:p>
    <w:p w:rsidR="00FF4315" w:rsidRDefault="00FF4315" w:rsidP="00FF4315">
      <w:pPr>
        <w:pStyle w:val="a3"/>
        <w:ind w:right="652" w:firstLine="707"/>
      </w:pPr>
      <w:r>
        <w:t xml:space="preserve">Дія закону не поширюється на санітарні заходи безпечності харчових продуктів, ветеринарно-санітарні та </w:t>
      </w:r>
      <w:proofErr w:type="spellStart"/>
      <w:r>
        <w:t>фітосанітарні</w:t>
      </w:r>
      <w:proofErr w:type="spellEnd"/>
      <w:r>
        <w:t xml:space="preserve"> заходи, </w:t>
      </w:r>
      <w:r>
        <w:rPr>
          <w:b/>
        </w:rPr>
        <w:t xml:space="preserve">будівельні норми, </w:t>
      </w:r>
      <w:r>
        <w:t>лікарські засоби, стандарти медичної допомоги, бухгалтерського обліку, оцінки майна, освіти та інші соціальні стандарти, передбачені законодавством.</w:t>
      </w:r>
    </w:p>
    <w:p w:rsidR="00FF4315" w:rsidRDefault="00FF4315" w:rsidP="00FF4315">
      <w:pPr>
        <w:pStyle w:val="a3"/>
        <w:ind w:right="651" w:firstLine="707"/>
      </w:pPr>
      <w:r>
        <w:t>Об’єктами стандартизації є: матеріали, складники, обладнання, системи, їхня сумісність; правила, процедури, функції, методи, діяльність чи її результати, включаючи продукцію, персонал, системи управління; вимоги до термінології, позначення, фасування, пакування, маркування, етикетування тощо.</w:t>
      </w:r>
    </w:p>
    <w:p w:rsidR="00FF4315" w:rsidRDefault="00FF4315" w:rsidP="00FF4315">
      <w:pPr>
        <w:pStyle w:val="a3"/>
        <w:ind w:right="650" w:firstLine="707"/>
      </w:pPr>
      <w:r>
        <w:t>Технічні комітети стандартизації не мають статусу юридичної особи. До роботи у технічних комітетах стандартизації залучаються уповноважені представники органів виконавчої влади, інших державних органів, органів місцевого самоврядування, суб’єктів господарювання та їхніх громадських об’єднань, організацій роботодавців та їхніх об’єднань, наукових установ та навчальних закладів, науково-технічних та інженерних товариств (спілок), громадських організацій споживачів (об’єднань споживачів), інших громадських об’єднань, професійних спілок, провідних науковців і фахівців.</w:t>
      </w:r>
    </w:p>
    <w:p w:rsidR="00FF4315" w:rsidRDefault="00FF4315" w:rsidP="00FF4315">
      <w:pPr>
        <w:pStyle w:val="a3"/>
        <w:ind w:right="1389" w:firstLine="707"/>
        <w:jc w:val="left"/>
      </w:pPr>
      <w:r>
        <w:t>У законі передбачені основні засади розроблення національних стандартів, кодексів усталеної практики та змін до них.</w:t>
      </w:r>
    </w:p>
    <w:p w:rsidR="00FF4315" w:rsidRDefault="00FF4315" w:rsidP="00FF4315">
      <w:pPr>
        <w:pStyle w:val="a3"/>
        <w:spacing w:line="321" w:lineRule="exact"/>
        <w:ind w:left="1026"/>
        <w:jc w:val="left"/>
      </w:pPr>
      <w:r>
        <w:t>Законом визначені джерела фінансування:</w:t>
      </w:r>
    </w:p>
    <w:p w:rsidR="00FF4315" w:rsidRDefault="00FF4315" w:rsidP="00FF4315">
      <w:pPr>
        <w:pStyle w:val="a3"/>
        <w:ind w:left="884"/>
        <w:jc w:val="left"/>
      </w:pPr>
      <w:r>
        <w:rPr>
          <w:noProof/>
          <w:lang w:val="ru-RU" w:eastAsia="ru-RU" w:bidi="ar-SA"/>
        </w:rPr>
        <w:t>-</w:t>
      </w:r>
      <w:r>
        <w:rPr>
          <w:sz w:val="20"/>
        </w:rPr>
        <w:t xml:space="preserve">   </w:t>
      </w:r>
      <w:r>
        <w:rPr>
          <w:spacing w:val="-16"/>
          <w:sz w:val="20"/>
        </w:rPr>
        <w:t xml:space="preserve"> </w:t>
      </w:r>
      <w:r>
        <w:t xml:space="preserve">кошти </w:t>
      </w:r>
      <w:proofErr w:type="gramStart"/>
      <w:r>
        <w:t>державного</w:t>
      </w:r>
      <w:proofErr w:type="gramEnd"/>
      <w:r>
        <w:t xml:space="preserve"> бюджету</w:t>
      </w:r>
      <w:r>
        <w:rPr>
          <w:spacing w:val="-6"/>
        </w:rPr>
        <w:t xml:space="preserve"> </w:t>
      </w:r>
      <w:r>
        <w:t>України;</w:t>
      </w:r>
    </w:p>
    <w:p w:rsidR="00FF4315" w:rsidRDefault="00FF4315" w:rsidP="00FF4315">
      <w:pPr>
        <w:pStyle w:val="a3"/>
        <w:spacing w:line="322" w:lineRule="exact"/>
        <w:ind w:left="884"/>
        <w:jc w:val="left"/>
      </w:pPr>
      <w:r>
        <w:rPr>
          <w:noProof/>
          <w:lang w:val="ru-RU" w:eastAsia="ru-RU" w:bidi="ar-SA"/>
        </w:rPr>
        <w:t>-</w:t>
      </w:r>
      <w:r>
        <w:rPr>
          <w:sz w:val="20"/>
        </w:rPr>
        <w:t xml:space="preserve">   </w:t>
      </w:r>
      <w:r>
        <w:rPr>
          <w:spacing w:val="-16"/>
          <w:sz w:val="20"/>
        </w:rPr>
        <w:t xml:space="preserve"> </w:t>
      </w:r>
      <w:r>
        <w:t>кошти, передбачені на виконання програм і</w:t>
      </w:r>
      <w:r>
        <w:rPr>
          <w:spacing w:val="-11"/>
        </w:rPr>
        <w:t xml:space="preserve"> </w:t>
      </w:r>
      <w:r>
        <w:t>проекті</w:t>
      </w:r>
      <w:proofErr w:type="gramStart"/>
      <w:r>
        <w:t>в</w:t>
      </w:r>
      <w:proofErr w:type="gramEnd"/>
      <w:r>
        <w:t>;</w:t>
      </w:r>
    </w:p>
    <w:p w:rsidR="00FF4315" w:rsidRDefault="00FF4315" w:rsidP="00FF4315">
      <w:pPr>
        <w:pStyle w:val="a3"/>
        <w:ind w:right="1532" w:firstLine="566"/>
        <w:jc w:val="left"/>
      </w:pPr>
      <w:r>
        <w:rPr>
          <w:noProof/>
          <w:lang w:eastAsia="ru-RU" w:bidi="ar-SA"/>
        </w:rPr>
        <w:t>-</w:t>
      </w:r>
      <w:r>
        <w:rPr>
          <w:sz w:val="20"/>
        </w:rPr>
        <w:t xml:space="preserve">   </w:t>
      </w:r>
      <w:r>
        <w:rPr>
          <w:spacing w:val="-16"/>
          <w:sz w:val="20"/>
        </w:rPr>
        <w:t xml:space="preserve"> </w:t>
      </w:r>
      <w:r>
        <w:t>власні та залучені кошти суб’єктів господарювання; інші не заборонені законодавством джерела</w:t>
      </w:r>
      <w:r>
        <w:rPr>
          <w:spacing w:val="-4"/>
        </w:rPr>
        <w:t xml:space="preserve"> </w:t>
      </w:r>
      <w:r>
        <w:t>фінансування.</w:t>
      </w:r>
    </w:p>
    <w:p w:rsidR="00FF4315" w:rsidRDefault="00FF4315" w:rsidP="00FF4315">
      <w:pPr>
        <w:pStyle w:val="a3"/>
        <w:ind w:left="317" w:right="652" w:firstLine="708"/>
      </w:pPr>
      <w:r>
        <w:t>Витрати суб’єктів господарювання</w:t>
      </w:r>
      <w:r>
        <w:rPr>
          <w:b/>
        </w:rPr>
        <w:t xml:space="preserve">, </w:t>
      </w:r>
      <w:r>
        <w:t>пов’язані з розробленням стандартів, кодексів усталеної практики, у тому числі національних, і технічних умов, участю в роботі міжнародних і регіональних</w:t>
      </w:r>
      <w:r>
        <w:rPr>
          <w:spacing w:val="66"/>
        </w:rPr>
        <w:t xml:space="preserve"> </w:t>
      </w:r>
      <w:r>
        <w:t>організацій</w:t>
      </w:r>
    </w:p>
    <w:p w:rsidR="00FF4315" w:rsidRDefault="00FF4315" w:rsidP="00FF4315">
      <w:pPr>
        <w:sectPr w:rsidR="00FF4315">
          <w:pgSz w:w="11910" w:h="16840"/>
          <w:pgMar w:top="1320" w:right="760" w:bottom="1200" w:left="1100" w:header="0" w:footer="1005" w:gutter="0"/>
          <w:cols w:space="720"/>
        </w:sectPr>
      </w:pPr>
    </w:p>
    <w:p w:rsidR="00FF4315" w:rsidRDefault="00FF4315" w:rsidP="00FF4315">
      <w:pPr>
        <w:pStyle w:val="a3"/>
        <w:spacing w:before="73"/>
        <w:ind w:right="653"/>
      </w:pPr>
      <w:r>
        <w:lastRenderedPageBreak/>
        <w:t>стандартизації, належать до витрат, пов’язаних з науково-технічним забезпеченням їхньої господарської діяльності.</w:t>
      </w:r>
    </w:p>
    <w:p w:rsidR="00FF4315" w:rsidRDefault="00FF4315" w:rsidP="00FF4315">
      <w:pPr>
        <w:pStyle w:val="a3"/>
        <w:ind w:right="650" w:firstLine="707"/>
      </w:pPr>
      <w:r>
        <w:t>Стандартизація є атрибутом державності і нормативним засобом управління. Як атрибут державності стандартизація забезпечує запровадження узгоджених (гармонізованих) стандартів щодо продукції, яка експортується, та ін. Як нормативний засіб управління стандартизація використовує однакові методики вимірювання різноманітних параметрів  та їх аналізування (порівняння) за встановленими межами гранично допустимих концентрацій (значеннями</w:t>
      </w:r>
      <w:r>
        <w:rPr>
          <w:spacing w:val="-4"/>
        </w:rPr>
        <w:t xml:space="preserve"> </w:t>
      </w:r>
      <w:r>
        <w:t>ГДК).</w:t>
      </w:r>
    </w:p>
    <w:p w:rsidR="00A95AC1" w:rsidRDefault="00FF4315" w:rsidP="00FF4315">
      <w:pPr>
        <w:rPr>
          <w:sz w:val="28"/>
          <w:szCs w:val="28"/>
        </w:rPr>
      </w:pPr>
      <w:r w:rsidRPr="00FF4315">
        <w:rPr>
          <w:sz w:val="28"/>
          <w:szCs w:val="28"/>
        </w:rPr>
        <w:t>З переходом України до ринкової економіки, зміною форми власності підприємств, адаптації законодавства України до вимог ЄС виникає необхідність внесення необхідних змін в реалізації державної політики у сфері метрологічної діяльності та</w:t>
      </w:r>
      <w:r w:rsidRPr="00FF4315">
        <w:rPr>
          <w:spacing w:val="-9"/>
          <w:sz w:val="28"/>
          <w:szCs w:val="28"/>
        </w:rPr>
        <w:t xml:space="preserve"> </w:t>
      </w:r>
      <w:r w:rsidRPr="00FF4315">
        <w:rPr>
          <w:sz w:val="28"/>
          <w:szCs w:val="28"/>
        </w:rPr>
        <w:t>стандартизації</w:t>
      </w:r>
    </w:p>
    <w:p w:rsidR="00FF4315" w:rsidRDefault="00FF4315" w:rsidP="00FF4315">
      <w:pPr>
        <w:rPr>
          <w:sz w:val="28"/>
          <w:szCs w:val="28"/>
        </w:rPr>
      </w:pPr>
    </w:p>
    <w:p w:rsidR="00FF4315" w:rsidRPr="00FF4315" w:rsidRDefault="00FF4315" w:rsidP="00FF4315">
      <w:pPr>
        <w:rPr>
          <w:b/>
          <w:sz w:val="28"/>
          <w:szCs w:val="28"/>
          <w:lang w:val="ru-RU"/>
        </w:rPr>
      </w:pPr>
      <w:r w:rsidRPr="00FF4315">
        <w:rPr>
          <w:b/>
          <w:sz w:val="28"/>
          <w:szCs w:val="28"/>
        </w:rPr>
        <w:t xml:space="preserve">Законспектувати та вивчити лекцію. Конспекти надсилати на </w:t>
      </w:r>
      <w:hyperlink r:id="rId7" w:history="1">
        <w:r w:rsidRPr="00FF4315">
          <w:rPr>
            <w:rStyle w:val="a7"/>
            <w:b/>
            <w:sz w:val="28"/>
            <w:szCs w:val="28"/>
          </w:rPr>
          <w:t>е-пошту-</w:t>
        </w:r>
        <w:r w:rsidRPr="00FF4315">
          <w:rPr>
            <w:rStyle w:val="a7"/>
            <w:b/>
            <w:sz w:val="28"/>
            <w:szCs w:val="28"/>
            <w:lang w:val="en-US"/>
          </w:rPr>
          <w:t>lukianenko</w:t>
        </w:r>
        <w:r w:rsidRPr="00FF4315">
          <w:rPr>
            <w:rStyle w:val="a7"/>
            <w:b/>
            <w:sz w:val="28"/>
            <w:szCs w:val="28"/>
            <w:lang w:val="ru-RU"/>
          </w:rPr>
          <w:t>74@</w:t>
        </w:r>
        <w:r w:rsidRPr="00FF4315">
          <w:rPr>
            <w:rStyle w:val="a7"/>
            <w:b/>
            <w:sz w:val="28"/>
            <w:szCs w:val="28"/>
            <w:lang w:val="en-US"/>
          </w:rPr>
          <w:t>ukr</w:t>
        </w:r>
        <w:r w:rsidRPr="00FF4315">
          <w:rPr>
            <w:rStyle w:val="a7"/>
            <w:b/>
            <w:sz w:val="28"/>
            <w:szCs w:val="28"/>
            <w:lang w:val="ru-RU"/>
          </w:rPr>
          <w:t>.</w:t>
        </w:r>
        <w:r w:rsidRPr="00FF4315">
          <w:rPr>
            <w:rStyle w:val="a7"/>
            <w:b/>
            <w:sz w:val="28"/>
            <w:szCs w:val="28"/>
            <w:lang w:val="en-US"/>
          </w:rPr>
          <w:t>net</w:t>
        </w:r>
      </w:hyperlink>
    </w:p>
    <w:p w:rsidR="00FF4315" w:rsidRPr="00FF4315" w:rsidRDefault="00FF4315" w:rsidP="00FF4315">
      <w:pPr>
        <w:rPr>
          <w:b/>
          <w:sz w:val="28"/>
          <w:szCs w:val="28"/>
          <w:lang w:val="ru-RU"/>
        </w:rPr>
      </w:pPr>
    </w:p>
    <w:sectPr w:rsidR="00FF4315" w:rsidRPr="00FF43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F7455"/>
    <w:multiLevelType w:val="hybridMultilevel"/>
    <w:tmpl w:val="55DAF5D2"/>
    <w:lvl w:ilvl="0" w:tplc="2C6A3052">
      <w:start w:val="1"/>
      <w:numFmt w:val="decimal"/>
      <w:lvlText w:val="%1."/>
      <w:lvlJc w:val="left"/>
      <w:pPr>
        <w:ind w:left="318" w:hanging="341"/>
        <w:jc w:val="right"/>
      </w:pPr>
      <w:rPr>
        <w:rFonts w:ascii="Times New Roman" w:eastAsia="Times New Roman" w:hAnsi="Times New Roman" w:cs="Times New Roman" w:hint="default"/>
        <w:spacing w:val="0"/>
        <w:w w:val="100"/>
        <w:sz w:val="28"/>
        <w:szCs w:val="28"/>
        <w:lang w:val="uk-UA" w:eastAsia="uk-UA" w:bidi="uk-UA"/>
      </w:rPr>
    </w:lvl>
    <w:lvl w:ilvl="1" w:tplc="3D86AE2A">
      <w:start w:val="64"/>
      <w:numFmt w:val="decimal"/>
      <w:lvlText w:val="%2."/>
      <w:lvlJc w:val="left"/>
      <w:pPr>
        <w:ind w:left="1841" w:hanging="423"/>
        <w:jc w:val="right"/>
      </w:pPr>
      <w:rPr>
        <w:rFonts w:ascii="Times New Roman" w:eastAsia="Times New Roman" w:hAnsi="Times New Roman" w:cs="Times New Roman" w:hint="default"/>
        <w:b/>
        <w:bCs/>
        <w:spacing w:val="0"/>
        <w:w w:val="100"/>
        <w:sz w:val="28"/>
        <w:szCs w:val="28"/>
        <w:lang w:val="uk-UA" w:eastAsia="uk-UA" w:bidi="uk-UA"/>
      </w:rPr>
    </w:lvl>
    <w:lvl w:ilvl="2" w:tplc="EDBE5066">
      <w:start w:val="1"/>
      <w:numFmt w:val="decimal"/>
      <w:lvlText w:val="%3."/>
      <w:lvlJc w:val="left"/>
      <w:pPr>
        <w:ind w:left="318" w:hanging="564"/>
        <w:jc w:val="right"/>
      </w:pPr>
      <w:rPr>
        <w:rFonts w:ascii="Times New Roman" w:eastAsia="Times New Roman" w:hAnsi="Times New Roman" w:cs="Times New Roman" w:hint="default"/>
        <w:spacing w:val="0"/>
        <w:w w:val="100"/>
        <w:sz w:val="28"/>
        <w:szCs w:val="28"/>
        <w:lang w:val="uk-UA" w:eastAsia="uk-UA" w:bidi="uk-UA"/>
      </w:rPr>
    </w:lvl>
    <w:lvl w:ilvl="3" w:tplc="F07EB24A">
      <w:start w:val="76"/>
      <w:numFmt w:val="decimal"/>
      <w:lvlText w:val="%4."/>
      <w:lvlJc w:val="left"/>
      <w:pPr>
        <w:ind w:left="1449" w:hanging="423"/>
        <w:jc w:val="right"/>
      </w:pPr>
      <w:rPr>
        <w:rFonts w:ascii="Times New Roman" w:eastAsia="Times New Roman" w:hAnsi="Times New Roman" w:cs="Times New Roman" w:hint="default"/>
        <w:b/>
        <w:bCs/>
        <w:spacing w:val="0"/>
        <w:w w:val="100"/>
        <w:sz w:val="28"/>
        <w:szCs w:val="28"/>
        <w:lang w:val="uk-UA" w:eastAsia="uk-UA" w:bidi="uk-UA"/>
      </w:rPr>
    </w:lvl>
    <w:lvl w:ilvl="4" w:tplc="47061996">
      <w:numFmt w:val="bullet"/>
      <w:lvlText w:val="•"/>
      <w:lvlJc w:val="left"/>
      <w:pPr>
        <w:ind w:left="4400" w:hanging="423"/>
      </w:pPr>
      <w:rPr>
        <w:rFonts w:hint="default"/>
        <w:lang w:val="uk-UA" w:eastAsia="uk-UA" w:bidi="uk-UA"/>
      </w:rPr>
    </w:lvl>
    <w:lvl w:ilvl="5" w:tplc="D1CC3DB8">
      <w:numFmt w:val="bullet"/>
      <w:lvlText w:val="•"/>
      <w:lvlJc w:val="left"/>
      <w:pPr>
        <w:ind w:left="5341" w:hanging="423"/>
      </w:pPr>
      <w:rPr>
        <w:rFonts w:hint="default"/>
        <w:lang w:val="uk-UA" w:eastAsia="uk-UA" w:bidi="uk-UA"/>
      </w:rPr>
    </w:lvl>
    <w:lvl w:ilvl="6" w:tplc="2E585A70">
      <w:numFmt w:val="bullet"/>
      <w:lvlText w:val="•"/>
      <w:lvlJc w:val="left"/>
      <w:pPr>
        <w:ind w:left="6282" w:hanging="423"/>
      </w:pPr>
      <w:rPr>
        <w:rFonts w:hint="default"/>
        <w:lang w:val="uk-UA" w:eastAsia="uk-UA" w:bidi="uk-UA"/>
      </w:rPr>
    </w:lvl>
    <w:lvl w:ilvl="7" w:tplc="DA360104">
      <w:numFmt w:val="bullet"/>
      <w:lvlText w:val="•"/>
      <w:lvlJc w:val="left"/>
      <w:pPr>
        <w:ind w:left="7223" w:hanging="423"/>
      </w:pPr>
      <w:rPr>
        <w:rFonts w:hint="default"/>
        <w:lang w:val="uk-UA" w:eastAsia="uk-UA" w:bidi="uk-UA"/>
      </w:rPr>
    </w:lvl>
    <w:lvl w:ilvl="8" w:tplc="3DFAF290">
      <w:numFmt w:val="bullet"/>
      <w:lvlText w:val="•"/>
      <w:lvlJc w:val="left"/>
      <w:pPr>
        <w:ind w:left="8164" w:hanging="423"/>
      </w:pPr>
      <w:rPr>
        <w:rFonts w:hint="default"/>
        <w:lang w:val="uk-UA" w:eastAsia="uk-UA" w:bidi="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315"/>
    <w:rsid w:val="00A95AC1"/>
    <w:rsid w:val="00FF4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F4315"/>
    <w:pPr>
      <w:widowControl w:val="0"/>
      <w:autoSpaceDE w:val="0"/>
      <w:autoSpaceDN w:val="0"/>
      <w:spacing w:after="0" w:line="240" w:lineRule="auto"/>
    </w:pPr>
    <w:rPr>
      <w:rFonts w:ascii="Times New Roman" w:eastAsia="Times New Roman" w:hAnsi="Times New Roman" w:cs="Times New Roman"/>
      <w:lang w:val="uk-UA" w:eastAsia="uk-UA" w:bidi="uk-UA"/>
    </w:rPr>
  </w:style>
  <w:style w:type="paragraph" w:styleId="2">
    <w:name w:val="heading 2"/>
    <w:basedOn w:val="a"/>
    <w:link w:val="20"/>
    <w:uiPriority w:val="1"/>
    <w:qFormat/>
    <w:rsid w:val="00FF4315"/>
    <w:pPr>
      <w:ind w:left="1026"/>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FF4315"/>
    <w:rPr>
      <w:rFonts w:ascii="Times New Roman" w:eastAsia="Times New Roman" w:hAnsi="Times New Roman" w:cs="Times New Roman"/>
      <w:b/>
      <w:bCs/>
      <w:sz w:val="28"/>
      <w:szCs w:val="28"/>
      <w:lang w:val="uk-UA" w:eastAsia="uk-UA" w:bidi="uk-UA"/>
    </w:rPr>
  </w:style>
  <w:style w:type="paragraph" w:styleId="a3">
    <w:name w:val="Body Text"/>
    <w:basedOn w:val="a"/>
    <w:link w:val="a4"/>
    <w:uiPriority w:val="1"/>
    <w:qFormat/>
    <w:rsid w:val="00FF4315"/>
    <w:pPr>
      <w:ind w:left="318"/>
      <w:jc w:val="both"/>
    </w:pPr>
    <w:rPr>
      <w:sz w:val="28"/>
      <w:szCs w:val="28"/>
    </w:rPr>
  </w:style>
  <w:style w:type="character" w:customStyle="1" w:styleId="a4">
    <w:name w:val="Основной текст Знак"/>
    <w:basedOn w:val="a0"/>
    <w:link w:val="a3"/>
    <w:uiPriority w:val="1"/>
    <w:rsid w:val="00FF4315"/>
    <w:rPr>
      <w:rFonts w:ascii="Times New Roman" w:eastAsia="Times New Roman" w:hAnsi="Times New Roman" w:cs="Times New Roman"/>
      <w:sz w:val="28"/>
      <w:szCs w:val="28"/>
      <w:lang w:val="uk-UA" w:eastAsia="uk-UA" w:bidi="uk-UA"/>
    </w:rPr>
  </w:style>
  <w:style w:type="paragraph" w:styleId="a5">
    <w:name w:val="Balloon Text"/>
    <w:basedOn w:val="a"/>
    <w:link w:val="a6"/>
    <w:uiPriority w:val="99"/>
    <w:semiHidden/>
    <w:unhideWhenUsed/>
    <w:rsid w:val="00FF4315"/>
    <w:rPr>
      <w:rFonts w:ascii="Tahoma" w:hAnsi="Tahoma" w:cs="Tahoma"/>
      <w:sz w:val="16"/>
      <w:szCs w:val="16"/>
    </w:rPr>
  </w:style>
  <w:style w:type="character" w:customStyle="1" w:styleId="a6">
    <w:name w:val="Текст выноски Знак"/>
    <w:basedOn w:val="a0"/>
    <w:link w:val="a5"/>
    <w:uiPriority w:val="99"/>
    <w:semiHidden/>
    <w:rsid w:val="00FF4315"/>
    <w:rPr>
      <w:rFonts w:ascii="Tahoma" w:eastAsia="Times New Roman" w:hAnsi="Tahoma" w:cs="Tahoma"/>
      <w:sz w:val="16"/>
      <w:szCs w:val="16"/>
      <w:lang w:val="uk-UA" w:eastAsia="uk-UA" w:bidi="uk-UA"/>
    </w:rPr>
  </w:style>
  <w:style w:type="character" w:styleId="a7">
    <w:name w:val="Hyperlink"/>
    <w:basedOn w:val="a0"/>
    <w:uiPriority w:val="99"/>
    <w:unhideWhenUsed/>
    <w:rsid w:val="00FF43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F4315"/>
    <w:pPr>
      <w:widowControl w:val="0"/>
      <w:autoSpaceDE w:val="0"/>
      <w:autoSpaceDN w:val="0"/>
      <w:spacing w:after="0" w:line="240" w:lineRule="auto"/>
    </w:pPr>
    <w:rPr>
      <w:rFonts w:ascii="Times New Roman" w:eastAsia="Times New Roman" w:hAnsi="Times New Roman" w:cs="Times New Roman"/>
      <w:lang w:val="uk-UA" w:eastAsia="uk-UA" w:bidi="uk-UA"/>
    </w:rPr>
  </w:style>
  <w:style w:type="paragraph" w:styleId="2">
    <w:name w:val="heading 2"/>
    <w:basedOn w:val="a"/>
    <w:link w:val="20"/>
    <w:uiPriority w:val="1"/>
    <w:qFormat/>
    <w:rsid w:val="00FF4315"/>
    <w:pPr>
      <w:ind w:left="1026"/>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FF4315"/>
    <w:rPr>
      <w:rFonts w:ascii="Times New Roman" w:eastAsia="Times New Roman" w:hAnsi="Times New Roman" w:cs="Times New Roman"/>
      <w:b/>
      <w:bCs/>
      <w:sz w:val="28"/>
      <w:szCs w:val="28"/>
      <w:lang w:val="uk-UA" w:eastAsia="uk-UA" w:bidi="uk-UA"/>
    </w:rPr>
  </w:style>
  <w:style w:type="paragraph" w:styleId="a3">
    <w:name w:val="Body Text"/>
    <w:basedOn w:val="a"/>
    <w:link w:val="a4"/>
    <w:uiPriority w:val="1"/>
    <w:qFormat/>
    <w:rsid w:val="00FF4315"/>
    <w:pPr>
      <w:ind w:left="318"/>
      <w:jc w:val="both"/>
    </w:pPr>
    <w:rPr>
      <w:sz w:val="28"/>
      <w:szCs w:val="28"/>
    </w:rPr>
  </w:style>
  <w:style w:type="character" w:customStyle="1" w:styleId="a4">
    <w:name w:val="Основной текст Знак"/>
    <w:basedOn w:val="a0"/>
    <w:link w:val="a3"/>
    <w:uiPriority w:val="1"/>
    <w:rsid w:val="00FF4315"/>
    <w:rPr>
      <w:rFonts w:ascii="Times New Roman" w:eastAsia="Times New Roman" w:hAnsi="Times New Roman" w:cs="Times New Roman"/>
      <w:sz w:val="28"/>
      <w:szCs w:val="28"/>
      <w:lang w:val="uk-UA" w:eastAsia="uk-UA" w:bidi="uk-UA"/>
    </w:rPr>
  </w:style>
  <w:style w:type="paragraph" w:styleId="a5">
    <w:name w:val="Balloon Text"/>
    <w:basedOn w:val="a"/>
    <w:link w:val="a6"/>
    <w:uiPriority w:val="99"/>
    <w:semiHidden/>
    <w:unhideWhenUsed/>
    <w:rsid w:val="00FF4315"/>
    <w:rPr>
      <w:rFonts w:ascii="Tahoma" w:hAnsi="Tahoma" w:cs="Tahoma"/>
      <w:sz w:val="16"/>
      <w:szCs w:val="16"/>
    </w:rPr>
  </w:style>
  <w:style w:type="character" w:customStyle="1" w:styleId="a6">
    <w:name w:val="Текст выноски Знак"/>
    <w:basedOn w:val="a0"/>
    <w:link w:val="a5"/>
    <w:uiPriority w:val="99"/>
    <w:semiHidden/>
    <w:rsid w:val="00FF4315"/>
    <w:rPr>
      <w:rFonts w:ascii="Tahoma" w:eastAsia="Times New Roman" w:hAnsi="Tahoma" w:cs="Tahoma"/>
      <w:sz w:val="16"/>
      <w:szCs w:val="16"/>
      <w:lang w:val="uk-UA" w:eastAsia="uk-UA" w:bidi="uk-UA"/>
    </w:rPr>
  </w:style>
  <w:style w:type="character" w:styleId="a7">
    <w:name w:val="Hyperlink"/>
    <w:basedOn w:val="a0"/>
    <w:uiPriority w:val="99"/>
    <w:unhideWhenUsed/>
    <w:rsid w:val="00FF43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1077;-&#1087;&#1086;&#1096;&#1090;&#1091;-lukianenko74@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077;-&#1087;&#1086;&#1096;&#1090;&#1091;-lukianenko74@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903</Words>
  <Characters>5153</Characters>
  <Application>Microsoft Office Word</Application>
  <DocSecurity>0</DocSecurity>
  <Lines>42</Lines>
  <Paragraphs>12</Paragraphs>
  <ScaleCrop>false</ScaleCrop>
  <Company>HP</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2021-02-09T13:31:00Z</dcterms:created>
  <dcterms:modified xsi:type="dcterms:W3CDTF">2021-02-09T13:40:00Z</dcterms:modified>
</cp:coreProperties>
</file>