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17" w:rsidRDefault="00C17217" w:rsidP="00C17217">
      <w:pPr>
        <w:pStyle w:val="2"/>
        <w:tabs>
          <w:tab w:val="left" w:pos="2143"/>
        </w:tabs>
        <w:ind w:left="0"/>
      </w:pPr>
      <w:r>
        <w:t xml:space="preserve">Урок </w:t>
      </w:r>
      <w:r>
        <w:rPr>
          <w:b w:val="0"/>
        </w:rPr>
        <w:t>16</w:t>
      </w:r>
    </w:p>
    <w:p w:rsidR="00C17217" w:rsidRPr="00C17217" w:rsidRDefault="00C17217" w:rsidP="00C17217">
      <w:pPr>
        <w:pStyle w:val="2"/>
        <w:tabs>
          <w:tab w:val="left" w:pos="2143"/>
        </w:tabs>
        <w:ind w:left="0"/>
        <w:rPr>
          <w:b w:val="0"/>
        </w:rPr>
      </w:pPr>
      <w:r>
        <w:t>Тема уроку</w:t>
      </w:r>
      <w:r w:rsidRPr="00C17217">
        <w:rPr>
          <w:b w:val="0"/>
        </w:rPr>
        <w:t>: Повноваження та діяльність національного</w:t>
      </w:r>
      <w:r w:rsidRPr="00C17217">
        <w:rPr>
          <w:b w:val="0"/>
          <w:spacing w:val="-7"/>
        </w:rPr>
        <w:t xml:space="preserve"> </w:t>
      </w:r>
      <w:r w:rsidRPr="00C17217">
        <w:rPr>
          <w:b w:val="0"/>
        </w:rPr>
        <w:t>органу</w:t>
      </w:r>
    </w:p>
    <w:p w:rsidR="00C17217" w:rsidRDefault="00C17217" w:rsidP="00C17217">
      <w:pPr>
        <w:rPr>
          <w:sz w:val="28"/>
        </w:rPr>
      </w:pPr>
      <w:r w:rsidRPr="00C17217">
        <w:rPr>
          <w:sz w:val="28"/>
        </w:rPr>
        <w:t>Стандартизації</w:t>
      </w:r>
    </w:p>
    <w:p w:rsidR="00C17217" w:rsidRDefault="00C17217" w:rsidP="00C17217">
      <w:pPr>
        <w:rPr>
          <w:sz w:val="28"/>
        </w:rPr>
      </w:pPr>
      <w:r w:rsidRPr="00C17217">
        <w:rPr>
          <w:b/>
          <w:sz w:val="28"/>
        </w:rPr>
        <w:t>Мета:</w:t>
      </w:r>
      <w:r>
        <w:rPr>
          <w:sz w:val="28"/>
        </w:rPr>
        <w:t xml:space="preserve"> ознайомити учнів з повноваженнями та діяльністю національного органу стандартизації;</w:t>
      </w:r>
    </w:p>
    <w:p w:rsidR="00C17217" w:rsidRDefault="00C17217" w:rsidP="00C17217">
      <w:pPr>
        <w:rPr>
          <w:sz w:val="28"/>
        </w:rPr>
      </w:pPr>
      <w:r>
        <w:rPr>
          <w:sz w:val="28"/>
        </w:rPr>
        <w:t>-</w:t>
      </w:r>
      <w:r w:rsidRPr="00C17217">
        <w:rPr>
          <w:b/>
          <w:sz w:val="28"/>
        </w:rPr>
        <w:t>знати</w:t>
      </w:r>
      <w:r>
        <w:rPr>
          <w:sz w:val="28"/>
        </w:rPr>
        <w:t>:</w:t>
      </w:r>
    </w:p>
    <w:p w:rsidR="00C17217" w:rsidRDefault="00C17217" w:rsidP="00C17217">
      <w:pPr>
        <w:rPr>
          <w:sz w:val="28"/>
        </w:rPr>
      </w:pPr>
      <w:r>
        <w:rPr>
          <w:sz w:val="28"/>
        </w:rPr>
        <w:t>-повноваження національних органів стандартизації;</w:t>
      </w:r>
    </w:p>
    <w:p w:rsidR="00C17217" w:rsidRDefault="00C17217" w:rsidP="00C17217">
      <w:pPr>
        <w:rPr>
          <w:sz w:val="28"/>
        </w:rPr>
      </w:pPr>
      <w:r>
        <w:rPr>
          <w:sz w:val="28"/>
        </w:rPr>
        <w:t>- основні національні стандарти;</w:t>
      </w:r>
    </w:p>
    <w:p w:rsidR="00C17217" w:rsidRPr="00C17217" w:rsidRDefault="00C17217" w:rsidP="00C17217">
      <w:pPr>
        <w:rPr>
          <w:sz w:val="28"/>
        </w:rPr>
      </w:pPr>
      <w:r>
        <w:rPr>
          <w:sz w:val="28"/>
        </w:rPr>
        <w:t>-</w:t>
      </w:r>
      <w:r w:rsidRPr="00C17217">
        <w:rPr>
          <w:spacing w:val="-3"/>
          <w:sz w:val="28"/>
        </w:rPr>
        <w:t xml:space="preserve">Український науково-дослідний </w:t>
      </w:r>
      <w:r w:rsidRPr="00C17217">
        <w:rPr>
          <w:sz w:val="28"/>
        </w:rPr>
        <w:t xml:space="preserve">і навчальний центр проблем стандартизації, сертифікації та якості" (ДП </w:t>
      </w:r>
      <w:r w:rsidRPr="00C17217">
        <w:rPr>
          <w:spacing w:val="-3"/>
          <w:sz w:val="28"/>
        </w:rPr>
        <w:t>"</w:t>
      </w:r>
      <w:proofErr w:type="spellStart"/>
      <w:r w:rsidRPr="00C17217">
        <w:rPr>
          <w:spacing w:val="-3"/>
          <w:sz w:val="28"/>
        </w:rPr>
        <w:t>УкрНДНЦ</w:t>
      </w:r>
      <w:proofErr w:type="spellEnd"/>
      <w:r w:rsidRPr="00C17217">
        <w:rPr>
          <w:spacing w:val="-3"/>
          <w:sz w:val="28"/>
        </w:rPr>
        <w:t>").</w:t>
      </w:r>
    </w:p>
    <w:p w:rsidR="00C17217" w:rsidRDefault="00C17217" w:rsidP="00C17217">
      <w:pPr>
        <w:pStyle w:val="a3"/>
        <w:tabs>
          <w:tab w:val="left" w:pos="2543"/>
          <w:tab w:val="left" w:pos="3145"/>
          <w:tab w:val="left" w:pos="4451"/>
          <w:tab w:val="left" w:pos="6472"/>
          <w:tab w:val="left" w:pos="8577"/>
        </w:tabs>
        <w:spacing w:before="158"/>
        <w:ind w:left="0" w:right="652"/>
        <w:jc w:val="left"/>
      </w:pPr>
      <w:r>
        <w:t xml:space="preserve">Відповідно до чинного законодавства національним </w:t>
      </w:r>
      <w:r>
        <w:rPr>
          <w:spacing w:val="-3"/>
        </w:rPr>
        <w:t xml:space="preserve">органам </w:t>
      </w:r>
      <w:r>
        <w:t>стандартизації делеговані наступні</w:t>
      </w:r>
      <w:r>
        <w:rPr>
          <w:spacing w:val="-4"/>
        </w:rPr>
        <w:t xml:space="preserve"> </w:t>
      </w:r>
      <w:r>
        <w:t>повноваження:</w:t>
      </w:r>
    </w:p>
    <w:p w:rsidR="00C17217" w:rsidRDefault="00C17217" w:rsidP="00C17217">
      <w:pPr>
        <w:pStyle w:val="a5"/>
        <w:numPr>
          <w:ilvl w:val="0"/>
          <w:numId w:val="2"/>
        </w:numPr>
        <w:tabs>
          <w:tab w:val="left" w:pos="1737"/>
        </w:tabs>
        <w:spacing w:before="73"/>
        <w:ind w:right="653" w:firstLine="566"/>
        <w:jc w:val="both"/>
        <w:rPr>
          <w:sz w:val="28"/>
        </w:rPr>
      </w:pPr>
      <w:r>
        <w:rPr>
          <w:sz w:val="28"/>
        </w:rPr>
        <w:t>організація та координація діяльності щодо розроблення, прийняття, перевірки, перегляду, скасування та відновлення дії національних стандартів, кодексів усталеної практики та змін до</w:t>
      </w:r>
      <w:r>
        <w:rPr>
          <w:spacing w:val="-16"/>
          <w:sz w:val="28"/>
        </w:rPr>
        <w:t xml:space="preserve"> </w:t>
      </w:r>
      <w:r>
        <w:rPr>
          <w:sz w:val="28"/>
        </w:rPr>
        <w:t>них;</w:t>
      </w:r>
    </w:p>
    <w:p w:rsidR="00C17217" w:rsidRDefault="00C17217" w:rsidP="00C17217">
      <w:pPr>
        <w:pStyle w:val="a5"/>
        <w:numPr>
          <w:ilvl w:val="0"/>
          <w:numId w:val="2"/>
        </w:numPr>
        <w:tabs>
          <w:tab w:val="left" w:pos="1214"/>
        </w:tabs>
        <w:ind w:right="653" w:firstLine="566"/>
        <w:jc w:val="both"/>
        <w:rPr>
          <w:sz w:val="28"/>
        </w:rPr>
      </w:pPr>
      <w:r>
        <w:rPr>
          <w:sz w:val="28"/>
        </w:rPr>
        <w:t>прийняття, скасування та відновлення дії національних стандартів, кодексів усталеної практики та змін до них відповідно до цього</w:t>
      </w:r>
      <w:r>
        <w:rPr>
          <w:spacing w:val="-20"/>
          <w:sz w:val="28"/>
        </w:rPr>
        <w:t xml:space="preserve"> </w:t>
      </w:r>
      <w:r>
        <w:rPr>
          <w:sz w:val="28"/>
        </w:rPr>
        <w:t>Закону;</w:t>
      </w:r>
    </w:p>
    <w:p w:rsidR="00C17217" w:rsidRDefault="00C17217" w:rsidP="00C17217">
      <w:pPr>
        <w:pStyle w:val="a5"/>
        <w:numPr>
          <w:ilvl w:val="0"/>
          <w:numId w:val="2"/>
        </w:numPr>
        <w:tabs>
          <w:tab w:val="left" w:pos="1310"/>
        </w:tabs>
        <w:ind w:right="651" w:firstLine="566"/>
        <w:jc w:val="both"/>
        <w:rPr>
          <w:sz w:val="28"/>
        </w:rPr>
      </w:pPr>
      <w:r>
        <w:rPr>
          <w:sz w:val="28"/>
        </w:rPr>
        <w:t>вжиття заходів щодо гармонізації національних стандартів та кодексів усталеної практики з відповідними міжнародними, регіональними стандартами та кодексами усталеної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C17217" w:rsidRDefault="00C17217" w:rsidP="00C17217">
      <w:pPr>
        <w:pStyle w:val="a5"/>
        <w:numPr>
          <w:ilvl w:val="0"/>
          <w:numId w:val="2"/>
        </w:numPr>
        <w:tabs>
          <w:tab w:val="left" w:pos="1329"/>
        </w:tabs>
        <w:ind w:right="651" w:firstLine="566"/>
        <w:jc w:val="both"/>
        <w:rPr>
          <w:sz w:val="28"/>
        </w:rPr>
      </w:pPr>
      <w:r>
        <w:rPr>
          <w:sz w:val="28"/>
        </w:rPr>
        <w:t>Розроблення національних стандартів та змін до них щодо: процедур розроблення, прийняття, перевірки, перегляду, скасування та відновлення дії національних стандартів, кодексів усталеної практики та змін до них; критеріїв, форми і процедур розгляду пропозицій щодо проведення робіт з національної стандартизації; процедур створення, діяльності та припинення діяльності технічних комітетів</w:t>
      </w:r>
      <w:r>
        <w:rPr>
          <w:spacing w:val="-18"/>
          <w:sz w:val="28"/>
        </w:rPr>
        <w:t xml:space="preserve"> </w:t>
      </w:r>
      <w:r>
        <w:rPr>
          <w:sz w:val="28"/>
        </w:rPr>
        <w:t>стандартизації;</w:t>
      </w:r>
    </w:p>
    <w:p w:rsidR="00C17217" w:rsidRDefault="00C17217" w:rsidP="00C17217">
      <w:pPr>
        <w:pStyle w:val="a5"/>
        <w:numPr>
          <w:ilvl w:val="0"/>
          <w:numId w:val="2"/>
        </w:numPr>
        <w:tabs>
          <w:tab w:val="left" w:pos="1277"/>
        </w:tabs>
        <w:ind w:left="459" w:right="651" w:firstLine="424"/>
        <w:jc w:val="left"/>
        <w:rPr>
          <w:sz w:val="28"/>
        </w:rPr>
      </w:pPr>
      <w:r>
        <w:rPr>
          <w:sz w:val="28"/>
        </w:rPr>
        <w:t>забезпечення відповідності національних стандартів та кодексів усталеної 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законодавству;</w:t>
      </w:r>
    </w:p>
    <w:p w:rsidR="00C17217" w:rsidRDefault="00C17217" w:rsidP="00C17217">
      <w:pPr>
        <w:pStyle w:val="a5"/>
        <w:numPr>
          <w:ilvl w:val="0"/>
          <w:numId w:val="2"/>
        </w:numPr>
        <w:tabs>
          <w:tab w:val="left" w:pos="1362"/>
          <w:tab w:val="left" w:pos="1363"/>
          <w:tab w:val="left" w:pos="3183"/>
          <w:tab w:val="left" w:pos="4518"/>
          <w:tab w:val="left" w:pos="6385"/>
          <w:tab w:val="left" w:pos="7887"/>
          <w:tab w:val="left" w:pos="8374"/>
        </w:tabs>
        <w:ind w:left="459" w:right="653" w:firstLine="424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адаптації</w:t>
      </w:r>
      <w:r>
        <w:rPr>
          <w:sz w:val="28"/>
        </w:rPr>
        <w:tab/>
        <w:t>національних</w:t>
      </w:r>
      <w:r>
        <w:rPr>
          <w:sz w:val="28"/>
        </w:rPr>
        <w:tab/>
        <w:t>стандартів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3"/>
          <w:sz w:val="28"/>
        </w:rPr>
        <w:t xml:space="preserve">кодексів </w:t>
      </w:r>
      <w:r>
        <w:rPr>
          <w:sz w:val="28"/>
        </w:rPr>
        <w:t>усталеної практики до сучасних досягнень науки і</w:t>
      </w:r>
      <w:r>
        <w:rPr>
          <w:spacing w:val="-8"/>
          <w:sz w:val="28"/>
        </w:rPr>
        <w:t xml:space="preserve"> </w:t>
      </w:r>
      <w:r>
        <w:rPr>
          <w:sz w:val="28"/>
        </w:rPr>
        <w:t>техніки;</w:t>
      </w:r>
    </w:p>
    <w:p w:rsidR="00C17217" w:rsidRDefault="00C17217" w:rsidP="00C17217">
      <w:pPr>
        <w:pStyle w:val="a5"/>
        <w:numPr>
          <w:ilvl w:val="0"/>
          <w:numId w:val="2"/>
        </w:numPr>
        <w:tabs>
          <w:tab w:val="left" w:pos="1359"/>
          <w:tab w:val="left" w:pos="1360"/>
          <w:tab w:val="left" w:pos="2880"/>
          <w:tab w:val="left" w:pos="3363"/>
          <w:tab w:val="left" w:pos="5247"/>
          <w:tab w:val="left" w:pos="6622"/>
          <w:tab w:val="left" w:pos="7486"/>
          <w:tab w:val="left" w:pos="7836"/>
        </w:tabs>
        <w:ind w:left="459" w:right="654" w:firstLine="424"/>
        <w:jc w:val="left"/>
        <w:rPr>
          <w:sz w:val="28"/>
        </w:rPr>
      </w:pPr>
      <w:r>
        <w:rPr>
          <w:sz w:val="28"/>
        </w:rPr>
        <w:t>підготовка</w:t>
      </w:r>
      <w:r>
        <w:rPr>
          <w:sz w:val="28"/>
        </w:rPr>
        <w:tab/>
        <w:t>та</w:t>
      </w:r>
      <w:r>
        <w:rPr>
          <w:sz w:val="28"/>
        </w:rPr>
        <w:tab/>
        <w:t>затвердження</w:t>
      </w:r>
      <w:r>
        <w:rPr>
          <w:sz w:val="28"/>
        </w:rPr>
        <w:tab/>
        <w:t>програми</w:t>
      </w:r>
      <w:r>
        <w:rPr>
          <w:sz w:val="28"/>
        </w:rPr>
        <w:tab/>
        <w:t>робіт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 xml:space="preserve">національної </w:t>
      </w:r>
      <w:r>
        <w:rPr>
          <w:sz w:val="28"/>
        </w:rPr>
        <w:t>стандартизації;</w:t>
      </w:r>
    </w:p>
    <w:p w:rsidR="00C17217" w:rsidRDefault="00C17217" w:rsidP="00C17217">
      <w:pPr>
        <w:pStyle w:val="a5"/>
        <w:numPr>
          <w:ilvl w:val="0"/>
          <w:numId w:val="2"/>
        </w:numPr>
        <w:tabs>
          <w:tab w:val="left" w:pos="1321"/>
          <w:tab w:val="left" w:pos="1322"/>
          <w:tab w:val="left" w:pos="2768"/>
          <w:tab w:val="left" w:pos="3807"/>
          <w:tab w:val="left" w:pos="4650"/>
          <w:tab w:val="left" w:pos="6063"/>
          <w:tab w:val="left" w:pos="6515"/>
          <w:tab w:val="left" w:pos="8159"/>
        </w:tabs>
        <w:ind w:left="459" w:right="652" w:firstLine="424"/>
        <w:jc w:val="left"/>
        <w:rPr>
          <w:sz w:val="28"/>
        </w:rPr>
      </w:pPr>
      <w:r>
        <w:rPr>
          <w:sz w:val="28"/>
        </w:rPr>
        <w:t>прийняття</w:t>
      </w:r>
      <w:r>
        <w:rPr>
          <w:sz w:val="28"/>
        </w:rPr>
        <w:tab/>
        <w:t>рішень</w:t>
      </w:r>
      <w:r>
        <w:rPr>
          <w:sz w:val="28"/>
        </w:rPr>
        <w:tab/>
        <w:t>щодо</w:t>
      </w:r>
      <w:r>
        <w:rPr>
          <w:sz w:val="28"/>
        </w:rPr>
        <w:tab/>
        <w:t>створення</w:t>
      </w:r>
      <w:r>
        <w:rPr>
          <w:sz w:val="28"/>
        </w:rPr>
        <w:tab/>
        <w:t>та</w:t>
      </w:r>
      <w:r>
        <w:rPr>
          <w:sz w:val="28"/>
        </w:rPr>
        <w:tab/>
        <w:t>припинення</w:t>
      </w:r>
      <w:r>
        <w:rPr>
          <w:sz w:val="28"/>
        </w:rPr>
        <w:tab/>
      </w:r>
      <w:r>
        <w:rPr>
          <w:spacing w:val="-3"/>
          <w:sz w:val="28"/>
        </w:rPr>
        <w:t xml:space="preserve">діяльності </w:t>
      </w:r>
      <w:r>
        <w:rPr>
          <w:sz w:val="28"/>
        </w:rPr>
        <w:t>технічних комітетів стандартизації, визначення сфери їх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діяльності;</w:t>
      </w:r>
    </w:p>
    <w:p w:rsidR="00C17217" w:rsidRDefault="00C17217" w:rsidP="00C17217">
      <w:pPr>
        <w:pStyle w:val="a5"/>
        <w:numPr>
          <w:ilvl w:val="0"/>
          <w:numId w:val="2"/>
        </w:numPr>
        <w:tabs>
          <w:tab w:val="left" w:pos="1259"/>
        </w:tabs>
        <w:spacing w:line="321" w:lineRule="exact"/>
        <w:ind w:left="1258" w:hanging="305"/>
        <w:jc w:val="left"/>
        <w:rPr>
          <w:sz w:val="28"/>
        </w:rPr>
      </w:pPr>
      <w:r>
        <w:rPr>
          <w:sz w:val="28"/>
        </w:rPr>
        <w:t>координація діяльності технічних комітетів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стандартизації;</w:t>
      </w:r>
    </w:p>
    <w:p w:rsidR="00C17217" w:rsidRDefault="00C17217" w:rsidP="00C17217">
      <w:pPr>
        <w:pStyle w:val="a5"/>
        <w:numPr>
          <w:ilvl w:val="0"/>
          <w:numId w:val="2"/>
        </w:numPr>
        <w:tabs>
          <w:tab w:val="left" w:pos="1315"/>
        </w:tabs>
        <w:spacing w:line="242" w:lineRule="auto"/>
        <w:ind w:right="651" w:firstLine="424"/>
        <w:jc w:val="left"/>
        <w:rPr>
          <w:sz w:val="28"/>
        </w:rPr>
      </w:pPr>
      <w:r>
        <w:rPr>
          <w:sz w:val="28"/>
        </w:rPr>
        <w:t>участь у підготовці міжнародних, регіональних стандартів та кодексів усталеної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C17217" w:rsidRDefault="00C17217" w:rsidP="00C17217">
      <w:pPr>
        <w:pStyle w:val="a3"/>
        <w:ind w:right="921" w:firstLine="566"/>
        <w:jc w:val="left"/>
      </w:pPr>
      <w:r>
        <w:t>Прийнято нові редакції 4 основоположних національних стандартів що набирають чинності</w:t>
      </w:r>
      <w:r>
        <w:rPr>
          <w:spacing w:val="-3"/>
        </w:rPr>
        <w:t xml:space="preserve"> </w:t>
      </w:r>
      <w:r>
        <w:t>01.04.2016:</w:t>
      </w:r>
    </w:p>
    <w:p w:rsidR="00C17217" w:rsidRDefault="00C17217" w:rsidP="00C17217">
      <w:pPr>
        <w:pStyle w:val="a5"/>
        <w:numPr>
          <w:ilvl w:val="0"/>
          <w:numId w:val="3"/>
        </w:numPr>
        <w:tabs>
          <w:tab w:val="left" w:pos="1039"/>
          <w:tab w:val="left" w:pos="2487"/>
          <w:tab w:val="left" w:pos="3807"/>
          <w:tab w:val="left" w:pos="5684"/>
          <w:tab w:val="left" w:pos="7366"/>
          <w:tab w:val="left" w:pos="7923"/>
        </w:tabs>
        <w:ind w:right="652" w:firstLine="359"/>
        <w:rPr>
          <w:sz w:val="28"/>
        </w:rPr>
      </w:pPr>
      <w:r>
        <w:rPr>
          <w:sz w:val="28"/>
        </w:rPr>
        <w:t xml:space="preserve">ДСТУ 1.5:2015 (ISO/IEC </w:t>
      </w:r>
      <w:proofErr w:type="spellStart"/>
      <w:r>
        <w:rPr>
          <w:sz w:val="28"/>
        </w:rPr>
        <w:t>Directives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Part</w:t>
      </w:r>
      <w:proofErr w:type="spellEnd"/>
      <w:r>
        <w:rPr>
          <w:sz w:val="28"/>
        </w:rPr>
        <w:t xml:space="preserve"> 2:2011, NEQ) Національна стандартизація.</w:t>
      </w:r>
      <w:r>
        <w:rPr>
          <w:sz w:val="28"/>
        </w:rPr>
        <w:tab/>
        <w:t>Правила</w:t>
      </w:r>
      <w:r>
        <w:rPr>
          <w:sz w:val="28"/>
        </w:rPr>
        <w:tab/>
        <w:t>розроблення,</w:t>
      </w:r>
      <w:r>
        <w:rPr>
          <w:sz w:val="28"/>
        </w:rPr>
        <w:tab/>
        <w:t>викладання</w:t>
      </w:r>
      <w:r>
        <w:rPr>
          <w:sz w:val="28"/>
        </w:rPr>
        <w:tab/>
        <w:t>та</w:t>
      </w:r>
      <w:r>
        <w:rPr>
          <w:sz w:val="28"/>
        </w:rPr>
        <w:lastRenderedPageBreak/>
        <w:tab/>
      </w:r>
      <w:r>
        <w:rPr>
          <w:spacing w:val="-4"/>
          <w:sz w:val="28"/>
        </w:rPr>
        <w:t xml:space="preserve">оформлення </w:t>
      </w:r>
      <w:r>
        <w:rPr>
          <w:sz w:val="28"/>
        </w:rPr>
        <w:t>національних нормативних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документів;</w:t>
      </w:r>
    </w:p>
    <w:p w:rsidR="00C17217" w:rsidRDefault="00C17217" w:rsidP="00C17217">
      <w:pPr>
        <w:pStyle w:val="a5"/>
        <w:numPr>
          <w:ilvl w:val="0"/>
          <w:numId w:val="3"/>
        </w:numPr>
        <w:tabs>
          <w:tab w:val="left" w:pos="1039"/>
        </w:tabs>
        <w:spacing w:line="242" w:lineRule="auto"/>
        <w:ind w:right="1036" w:firstLine="359"/>
        <w:rPr>
          <w:sz w:val="28"/>
        </w:rPr>
      </w:pPr>
      <w:r>
        <w:rPr>
          <w:sz w:val="28"/>
        </w:rPr>
        <w:t>ДСТУ 1.8:2015 Національна стандартизація. Правила розроблення Програми робіт з національної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стандартизації;</w:t>
      </w:r>
    </w:p>
    <w:p w:rsidR="00C17217" w:rsidRDefault="00C17217" w:rsidP="00C17217">
      <w:pPr>
        <w:pStyle w:val="a5"/>
        <w:numPr>
          <w:ilvl w:val="0"/>
          <w:numId w:val="3"/>
        </w:numPr>
        <w:tabs>
          <w:tab w:val="left" w:pos="1039"/>
        </w:tabs>
        <w:ind w:left="317" w:right="1171" w:firstLine="360"/>
        <w:rPr>
          <w:sz w:val="28"/>
        </w:rPr>
      </w:pPr>
      <w:r>
        <w:rPr>
          <w:sz w:val="28"/>
        </w:rPr>
        <w:t>ДСТУ 1.13:2015 Національна стандартизація. Правила надавання повідомлень торговим партнерам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України;</w:t>
      </w:r>
    </w:p>
    <w:p w:rsidR="00C17217" w:rsidRDefault="00C17217" w:rsidP="00C17217">
      <w:pPr>
        <w:pStyle w:val="a5"/>
        <w:numPr>
          <w:ilvl w:val="0"/>
          <w:numId w:val="1"/>
        </w:numPr>
        <w:tabs>
          <w:tab w:val="left" w:pos="1025"/>
          <w:tab w:val="left" w:pos="1027"/>
        </w:tabs>
        <w:ind w:right="812" w:firstLine="283"/>
        <w:rPr>
          <w:sz w:val="28"/>
        </w:rPr>
      </w:pPr>
      <w:r>
        <w:rPr>
          <w:sz w:val="28"/>
        </w:rPr>
        <w:t xml:space="preserve">ДСТУ 1.14:2015 Національна стандартизація. Процедури створення, діяльності технічних </w:t>
      </w:r>
      <w:r>
        <w:rPr>
          <w:spacing w:val="-3"/>
          <w:sz w:val="28"/>
        </w:rPr>
        <w:t>комітетів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стандартизації.</w:t>
      </w:r>
    </w:p>
    <w:p w:rsidR="00C17217" w:rsidRDefault="00C17217" w:rsidP="00C17217">
      <w:pPr>
        <w:pStyle w:val="a3"/>
        <w:ind w:left="0" w:right="650" w:firstLine="318"/>
      </w:pPr>
      <w:r>
        <w:t xml:space="preserve">Станом на </w:t>
      </w:r>
      <w:r>
        <w:rPr>
          <w:spacing w:val="-4"/>
        </w:rPr>
        <w:t xml:space="preserve">початок </w:t>
      </w:r>
      <w:r>
        <w:t xml:space="preserve">2016 року Фонд національних стандартів становив 18623 документи, з яких </w:t>
      </w:r>
      <w:r>
        <w:rPr>
          <w:spacing w:val="-3"/>
        </w:rPr>
        <w:t xml:space="preserve">11662 </w:t>
      </w:r>
      <w:r>
        <w:t>національних стандарти, гармонізованих з міжнародними та</w:t>
      </w:r>
      <w:r>
        <w:rPr>
          <w:spacing w:val="-5"/>
        </w:rPr>
        <w:t xml:space="preserve"> </w:t>
      </w:r>
      <w:r>
        <w:t>європейськими.</w:t>
      </w:r>
      <w:r>
        <w:tab/>
        <w:t xml:space="preserve">В 2014 році </w:t>
      </w:r>
      <w:proofErr w:type="spellStart"/>
      <w:r>
        <w:t>Мінекономрозвитку</w:t>
      </w:r>
      <w:proofErr w:type="spellEnd"/>
      <w:r>
        <w:t xml:space="preserve"> прийнято 2313 національних нормативних документів, з яких 1998 гармонізовано з міжнародними та європейськими.</w:t>
      </w:r>
    </w:p>
    <w:p w:rsidR="00C17217" w:rsidRDefault="00C17217" w:rsidP="00C17217">
      <w:pPr>
        <w:pStyle w:val="a3"/>
        <w:spacing w:before="73"/>
        <w:ind w:left="0" w:right="651" w:firstLine="318"/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1D427948" wp14:editId="1A3385D1">
            <wp:simplePos x="0" y="0"/>
            <wp:positionH relativeFrom="page">
              <wp:posOffset>1279525</wp:posOffset>
            </wp:positionH>
            <wp:positionV relativeFrom="paragraph">
              <wp:posOffset>1315724</wp:posOffset>
            </wp:positionV>
            <wp:extent cx="5113399" cy="2255520"/>
            <wp:effectExtent l="0" t="0" r="0" b="0"/>
            <wp:wrapTopAndBottom/>
            <wp:docPr id="2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399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2015 році НОС прийнято 4833 національних </w:t>
      </w:r>
      <w:r>
        <w:rPr>
          <w:spacing w:val="-3"/>
        </w:rPr>
        <w:t xml:space="preserve">нормативних </w:t>
      </w:r>
      <w:r>
        <w:t xml:space="preserve">документи, з яких 2651 - гармонізовано с міжнародними та європейськими, що є найбільшою кількістю стандартів, прийнятою за рік, </w:t>
      </w:r>
      <w:r>
        <w:rPr>
          <w:spacing w:val="-3"/>
        </w:rPr>
        <w:t xml:space="preserve">починаючи </w:t>
      </w:r>
      <w:r>
        <w:t xml:space="preserve">з 2001 </w:t>
      </w:r>
      <w:r>
        <w:rPr>
          <w:spacing w:val="-8"/>
        </w:rPr>
        <w:t xml:space="preserve">року. </w:t>
      </w:r>
      <w:r>
        <w:t>На рис. 3 приведена динаміка прийнятих національних нормативних документів, гармонізованих з міжнародними та європейськими.</w:t>
      </w:r>
    </w:p>
    <w:p w:rsidR="00C17217" w:rsidRDefault="00C17217" w:rsidP="00C17217">
      <w:pPr>
        <w:pStyle w:val="a3"/>
        <w:spacing w:before="38"/>
        <w:ind w:left="1107" w:firstLine="388"/>
        <w:jc w:val="left"/>
      </w:pPr>
      <w:r>
        <w:t>Рисунок 3 – Кількість прийнятих національних нормативних документів, гармонізованих з міжнародними та європейськими</w:t>
      </w:r>
    </w:p>
    <w:p w:rsidR="00C17217" w:rsidRDefault="00C17217" w:rsidP="00C17217">
      <w:pPr>
        <w:spacing w:before="201"/>
        <w:ind w:right="652" w:firstLine="318"/>
        <w:jc w:val="both"/>
        <w:rPr>
          <w:b/>
          <w:sz w:val="28"/>
        </w:rPr>
      </w:pPr>
      <w:r>
        <w:rPr>
          <w:sz w:val="28"/>
        </w:rPr>
        <w:t xml:space="preserve">Відповідно до </w:t>
      </w:r>
      <w:r>
        <w:rPr>
          <w:spacing w:val="-3"/>
          <w:sz w:val="28"/>
        </w:rPr>
        <w:t xml:space="preserve">Закону </w:t>
      </w:r>
      <w:r>
        <w:rPr>
          <w:spacing w:val="-4"/>
          <w:sz w:val="28"/>
        </w:rPr>
        <w:t xml:space="preserve">України </w:t>
      </w:r>
      <w:r>
        <w:rPr>
          <w:sz w:val="28"/>
        </w:rPr>
        <w:t xml:space="preserve">"Про стандартизацію" створено національний орган стандартизації, функції </w:t>
      </w:r>
      <w:r>
        <w:rPr>
          <w:spacing w:val="-5"/>
          <w:sz w:val="28"/>
        </w:rPr>
        <w:t xml:space="preserve">якого </w:t>
      </w:r>
      <w:r>
        <w:rPr>
          <w:spacing w:val="-4"/>
          <w:sz w:val="28"/>
        </w:rPr>
        <w:t>виконує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державне підприємство </w:t>
      </w:r>
      <w:r>
        <w:rPr>
          <w:b/>
          <w:spacing w:val="-3"/>
          <w:sz w:val="28"/>
        </w:rPr>
        <w:t xml:space="preserve">"Український науково-дослідний </w:t>
      </w:r>
      <w:r>
        <w:rPr>
          <w:b/>
          <w:sz w:val="28"/>
        </w:rPr>
        <w:t xml:space="preserve">і навчальний центр проблем стандартизації, сертифікації та якості" (ДП </w:t>
      </w:r>
      <w:r>
        <w:rPr>
          <w:b/>
          <w:spacing w:val="-3"/>
          <w:sz w:val="28"/>
        </w:rPr>
        <w:t>"</w:t>
      </w:r>
      <w:proofErr w:type="spellStart"/>
      <w:r>
        <w:rPr>
          <w:b/>
          <w:spacing w:val="-3"/>
          <w:sz w:val="28"/>
        </w:rPr>
        <w:t>УкрНДНЦ</w:t>
      </w:r>
      <w:proofErr w:type="spellEnd"/>
      <w:r>
        <w:rPr>
          <w:b/>
          <w:spacing w:val="-3"/>
          <w:sz w:val="28"/>
        </w:rPr>
        <w:t>").</w:t>
      </w:r>
    </w:p>
    <w:p w:rsidR="00C17217" w:rsidRDefault="00C17217" w:rsidP="00C17217">
      <w:pPr>
        <w:pStyle w:val="a3"/>
        <w:spacing w:line="242" w:lineRule="auto"/>
        <w:ind w:left="0" w:right="654" w:firstLine="317"/>
      </w:pPr>
      <w:r>
        <w:t>Прийнято нові редакції 3-х основоположних національних стандартів, що набрали чинності 20.12.2015:</w:t>
      </w:r>
    </w:p>
    <w:p w:rsidR="00C17217" w:rsidRDefault="00C17217" w:rsidP="00C17217">
      <w:pPr>
        <w:pStyle w:val="a5"/>
        <w:numPr>
          <w:ilvl w:val="0"/>
          <w:numId w:val="1"/>
        </w:numPr>
        <w:tabs>
          <w:tab w:val="left" w:pos="1027"/>
        </w:tabs>
        <w:ind w:left="317" w:right="652" w:firstLine="360"/>
        <w:jc w:val="both"/>
        <w:rPr>
          <w:sz w:val="28"/>
        </w:rPr>
      </w:pPr>
      <w:r>
        <w:rPr>
          <w:sz w:val="28"/>
        </w:rPr>
        <w:t xml:space="preserve">ДСТУ 1.1:2015 (ISO/IEC </w:t>
      </w:r>
      <w:proofErr w:type="spellStart"/>
      <w:r>
        <w:rPr>
          <w:sz w:val="28"/>
        </w:rPr>
        <w:t>Guide</w:t>
      </w:r>
      <w:proofErr w:type="spellEnd"/>
      <w:r>
        <w:rPr>
          <w:sz w:val="28"/>
        </w:rPr>
        <w:t xml:space="preserve"> 2:2004, MOD) Національна стандартизація. Стандартизація та суміжні види діяльності. Словник термінів;</w:t>
      </w:r>
    </w:p>
    <w:p w:rsidR="00C17217" w:rsidRDefault="00C17217" w:rsidP="00C17217">
      <w:pPr>
        <w:pStyle w:val="a5"/>
        <w:numPr>
          <w:ilvl w:val="0"/>
          <w:numId w:val="1"/>
        </w:numPr>
        <w:tabs>
          <w:tab w:val="left" w:pos="1026"/>
        </w:tabs>
        <w:ind w:left="317" w:right="653" w:firstLine="427"/>
        <w:jc w:val="both"/>
        <w:rPr>
          <w:sz w:val="28"/>
        </w:rPr>
      </w:pPr>
      <w:r>
        <w:rPr>
          <w:sz w:val="28"/>
        </w:rPr>
        <w:t>ДСТУ 1.2:2015 Національна стандартизація. Правила проведення робіт з національної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стандартизації;</w:t>
      </w:r>
    </w:p>
    <w:p w:rsidR="006D48C9" w:rsidRDefault="00C17217" w:rsidP="00C17217">
      <w:pPr>
        <w:ind w:firstLine="317"/>
        <w:rPr>
          <w:sz w:val="28"/>
        </w:rPr>
      </w:pPr>
      <w:r>
        <w:rPr>
          <w:sz w:val="28"/>
        </w:rPr>
        <w:t xml:space="preserve">ДСТУ 1.7:2015 (ISO/IEC </w:t>
      </w:r>
      <w:proofErr w:type="spellStart"/>
      <w:r>
        <w:rPr>
          <w:sz w:val="28"/>
        </w:rPr>
        <w:t>Guide</w:t>
      </w:r>
      <w:proofErr w:type="spellEnd"/>
      <w:r>
        <w:rPr>
          <w:sz w:val="28"/>
        </w:rPr>
        <w:t xml:space="preserve"> 21-1:2005, NEQ; ISO/IEC </w:t>
      </w:r>
      <w:proofErr w:type="spellStart"/>
      <w:r>
        <w:rPr>
          <w:sz w:val="28"/>
        </w:rPr>
        <w:t>Guide</w:t>
      </w:r>
      <w:proofErr w:type="spellEnd"/>
      <w:r>
        <w:rPr>
          <w:sz w:val="28"/>
        </w:rPr>
        <w:t xml:space="preserve"> 21- 2:2005 NEQ) Національна стандартизація. Правила та </w:t>
      </w:r>
      <w:r>
        <w:rPr>
          <w:spacing w:val="-4"/>
          <w:sz w:val="28"/>
        </w:rPr>
        <w:t xml:space="preserve">методи </w:t>
      </w:r>
      <w:r>
        <w:rPr>
          <w:sz w:val="28"/>
        </w:rPr>
        <w:t xml:space="preserve">прийняття міжнародних і регіональних </w:t>
      </w:r>
      <w:r>
        <w:rPr>
          <w:spacing w:val="-3"/>
          <w:sz w:val="28"/>
        </w:rPr>
        <w:t>нормативних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документів</w:t>
      </w:r>
    </w:p>
    <w:p w:rsidR="00C17217" w:rsidRDefault="00C17217" w:rsidP="00C17217">
      <w:pPr>
        <w:ind w:firstLine="317"/>
        <w:rPr>
          <w:b/>
          <w:sz w:val="28"/>
        </w:rPr>
      </w:pPr>
      <w:r w:rsidRPr="00C17217">
        <w:rPr>
          <w:b/>
          <w:sz w:val="28"/>
        </w:rPr>
        <w:t>Питання для самоконтролю:</w:t>
      </w:r>
    </w:p>
    <w:p w:rsidR="00C17217" w:rsidRPr="00C17217" w:rsidRDefault="00C17217" w:rsidP="00C17217">
      <w:pPr>
        <w:pStyle w:val="a5"/>
        <w:numPr>
          <w:ilvl w:val="0"/>
          <w:numId w:val="5"/>
        </w:numPr>
        <w:rPr>
          <w:b/>
        </w:rPr>
      </w:pPr>
      <w:r>
        <w:rPr>
          <w:b/>
          <w:sz w:val="28"/>
          <w:szCs w:val="28"/>
        </w:rPr>
        <w:t>Основні повноваження  національних органів стандартизації?</w:t>
      </w:r>
    </w:p>
    <w:p w:rsidR="00C17217" w:rsidRPr="00C17217" w:rsidRDefault="00C17217" w:rsidP="00C17217">
      <w:pPr>
        <w:pStyle w:val="a5"/>
        <w:numPr>
          <w:ilvl w:val="0"/>
          <w:numId w:val="5"/>
        </w:numPr>
        <w:rPr>
          <w:b/>
        </w:rPr>
      </w:pPr>
      <w:r>
        <w:rPr>
          <w:b/>
          <w:sz w:val="28"/>
          <w:szCs w:val="28"/>
        </w:rPr>
        <w:t xml:space="preserve">Функції якого органу виконують державне підприємництво відповідно до Закону України « Про </w:t>
      </w:r>
      <w:proofErr w:type="spellStart"/>
      <w:r>
        <w:rPr>
          <w:b/>
          <w:sz w:val="28"/>
          <w:szCs w:val="28"/>
        </w:rPr>
        <w:t>стандартизауію</w:t>
      </w:r>
      <w:proofErr w:type="spellEnd"/>
      <w:r>
        <w:rPr>
          <w:b/>
          <w:sz w:val="28"/>
          <w:szCs w:val="28"/>
        </w:rPr>
        <w:t>»</w:t>
      </w:r>
    </w:p>
    <w:p w:rsidR="00C17217" w:rsidRPr="00C17217" w:rsidRDefault="00C17217" w:rsidP="00C17217">
      <w:pPr>
        <w:pStyle w:val="a5"/>
        <w:numPr>
          <w:ilvl w:val="0"/>
          <w:numId w:val="5"/>
        </w:numPr>
        <w:rPr>
          <w:b/>
        </w:rPr>
      </w:pPr>
      <w:bookmarkStart w:id="0" w:name="_GoBack"/>
      <w:bookmarkEnd w:id="0"/>
    </w:p>
    <w:p w:rsidR="00C17217" w:rsidRPr="000278D2" w:rsidRDefault="00C17217" w:rsidP="00C17217">
      <w:pPr>
        <w:rPr>
          <w:b/>
          <w:lang w:val="ru-RU"/>
        </w:rPr>
      </w:pPr>
    </w:p>
    <w:sectPr w:rsidR="00C17217" w:rsidRPr="000278D2" w:rsidSect="00C17217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19A7"/>
    <w:multiLevelType w:val="hybridMultilevel"/>
    <w:tmpl w:val="C45C8738"/>
    <w:lvl w:ilvl="0" w:tplc="E348FE30">
      <w:numFmt w:val="bullet"/>
      <w:lvlText w:val=""/>
      <w:lvlJc w:val="left"/>
      <w:pPr>
        <w:ind w:left="318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2654EF6C">
      <w:numFmt w:val="bullet"/>
      <w:lvlText w:val="•"/>
      <w:lvlJc w:val="left"/>
      <w:pPr>
        <w:ind w:left="1292" w:hanging="360"/>
      </w:pPr>
      <w:rPr>
        <w:rFonts w:hint="default"/>
        <w:lang w:val="uk-UA" w:eastAsia="uk-UA" w:bidi="uk-UA"/>
      </w:rPr>
    </w:lvl>
    <w:lvl w:ilvl="2" w:tplc="8C18D4F8">
      <w:numFmt w:val="bullet"/>
      <w:lvlText w:val="•"/>
      <w:lvlJc w:val="left"/>
      <w:pPr>
        <w:ind w:left="2265" w:hanging="360"/>
      </w:pPr>
      <w:rPr>
        <w:rFonts w:hint="default"/>
        <w:lang w:val="uk-UA" w:eastAsia="uk-UA" w:bidi="uk-UA"/>
      </w:rPr>
    </w:lvl>
    <w:lvl w:ilvl="3" w:tplc="CF2A2480">
      <w:numFmt w:val="bullet"/>
      <w:lvlText w:val="•"/>
      <w:lvlJc w:val="left"/>
      <w:pPr>
        <w:ind w:left="3237" w:hanging="360"/>
      </w:pPr>
      <w:rPr>
        <w:rFonts w:hint="default"/>
        <w:lang w:val="uk-UA" w:eastAsia="uk-UA" w:bidi="uk-UA"/>
      </w:rPr>
    </w:lvl>
    <w:lvl w:ilvl="4" w:tplc="9650EB48">
      <w:numFmt w:val="bullet"/>
      <w:lvlText w:val="•"/>
      <w:lvlJc w:val="left"/>
      <w:pPr>
        <w:ind w:left="4210" w:hanging="360"/>
      </w:pPr>
      <w:rPr>
        <w:rFonts w:hint="default"/>
        <w:lang w:val="uk-UA" w:eastAsia="uk-UA" w:bidi="uk-UA"/>
      </w:rPr>
    </w:lvl>
    <w:lvl w:ilvl="5" w:tplc="E33881D6">
      <w:numFmt w:val="bullet"/>
      <w:lvlText w:val="•"/>
      <w:lvlJc w:val="left"/>
      <w:pPr>
        <w:ind w:left="5183" w:hanging="360"/>
      </w:pPr>
      <w:rPr>
        <w:rFonts w:hint="default"/>
        <w:lang w:val="uk-UA" w:eastAsia="uk-UA" w:bidi="uk-UA"/>
      </w:rPr>
    </w:lvl>
    <w:lvl w:ilvl="6" w:tplc="9206721C">
      <w:numFmt w:val="bullet"/>
      <w:lvlText w:val="•"/>
      <w:lvlJc w:val="left"/>
      <w:pPr>
        <w:ind w:left="6155" w:hanging="360"/>
      </w:pPr>
      <w:rPr>
        <w:rFonts w:hint="default"/>
        <w:lang w:val="uk-UA" w:eastAsia="uk-UA" w:bidi="uk-UA"/>
      </w:rPr>
    </w:lvl>
    <w:lvl w:ilvl="7" w:tplc="02082EBE">
      <w:numFmt w:val="bullet"/>
      <w:lvlText w:val="•"/>
      <w:lvlJc w:val="left"/>
      <w:pPr>
        <w:ind w:left="7128" w:hanging="360"/>
      </w:pPr>
      <w:rPr>
        <w:rFonts w:hint="default"/>
        <w:lang w:val="uk-UA" w:eastAsia="uk-UA" w:bidi="uk-UA"/>
      </w:rPr>
    </w:lvl>
    <w:lvl w:ilvl="8" w:tplc="9258BEC0">
      <w:numFmt w:val="bullet"/>
      <w:lvlText w:val="•"/>
      <w:lvlJc w:val="left"/>
      <w:pPr>
        <w:ind w:left="8101" w:hanging="360"/>
      </w:pPr>
      <w:rPr>
        <w:rFonts w:hint="default"/>
        <w:lang w:val="uk-UA" w:eastAsia="uk-UA" w:bidi="uk-UA"/>
      </w:rPr>
    </w:lvl>
  </w:abstractNum>
  <w:abstractNum w:abstractNumId="1">
    <w:nsid w:val="51020266"/>
    <w:multiLevelType w:val="hybridMultilevel"/>
    <w:tmpl w:val="8286B53E"/>
    <w:lvl w:ilvl="0" w:tplc="C34025D4">
      <w:start w:val="1"/>
      <w:numFmt w:val="decimal"/>
      <w:lvlText w:val="%1)"/>
      <w:lvlJc w:val="left"/>
      <w:pPr>
        <w:ind w:left="318" w:hanging="8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91642A88">
      <w:numFmt w:val="bullet"/>
      <w:lvlText w:val="•"/>
      <w:lvlJc w:val="left"/>
      <w:pPr>
        <w:ind w:left="1292" w:hanging="852"/>
      </w:pPr>
      <w:rPr>
        <w:rFonts w:hint="default"/>
        <w:lang w:val="uk-UA" w:eastAsia="uk-UA" w:bidi="uk-UA"/>
      </w:rPr>
    </w:lvl>
    <w:lvl w:ilvl="2" w:tplc="FC0045F8">
      <w:numFmt w:val="bullet"/>
      <w:lvlText w:val="•"/>
      <w:lvlJc w:val="left"/>
      <w:pPr>
        <w:ind w:left="2265" w:hanging="852"/>
      </w:pPr>
      <w:rPr>
        <w:rFonts w:hint="default"/>
        <w:lang w:val="uk-UA" w:eastAsia="uk-UA" w:bidi="uk-UA"/>
      </w:rPr>
    </w:lvl>
    <w:lvl w:ilvl="3" w:tplc="8E1EBF0E">
      <w:numFmt w:val="bullet"/>
      <w:lvlText w:val="•"/>
      <w:lvlJc w:val="left"/>
      <w:pPr>
        <w:ind w:left="3237" w:hanging="852"/>
      </w:pPr>
      <w:rPr>
        <w:rFonts w:hint="default"/>
        <w:lang w:val="uk-UA" w:eastAsia="uk-UA" w:bidi="uk-UA"/>
      </w:rPr>
    </w:lvl>
    <w:lvl w:ilvl="4" w:tplc="F4BA32EC">
      <w:numFmt w:val="bullet"/>
      <w:lvlText w:val="•"/>
      <w:lvlJc w:val="left"/>
      <w:pPr>
        <w:ind w:left="4210" w:hanging="852"/>
      </w:pPr>
      <w:rPr>
        <w:rFonts w:hint="default"/>
        <w:lang w:val="uk-UA" w:eastAsia="uk-UA" w:bidi="uk-UA"/>
      </w:rPr>
    </w:lvl>
    <w:lvl w:ilvl="5" w:tplc="FDBE1318">
      <w:numFmt w:val="bullet"/>
      <w:lvlText w:val="•"/>
      <w:lvlJc w:val="left"/>
      <w:pPr>
        <w:ind w:left="5183" w:hanging="852"/>
      </w:pPr>
      <w:rPr>
        <w:rFonts w:hint="default"/>
        <w:lang w:val="uk-UA" w:eastAsia="uk-UA" w:bidi="uk-UA"/>
      </w:rPr>
    </w:lvl>
    <w:lvl w:ilvl="6" w:tplc="C588AC5A">
      <w:numFmt w:val="bullet"/>
      <w:lvlText w:val="•"/>
      <w:lvlJc w:val="left"/>
      <w:pPr>
        <w:ind w:left="6155" w:hanging="852"/>
      </w:pPr>
      <w:rPr>
        <w:rFonts w:hint="default"/>
        <w:lang w:val="uk-UA" w:eastAsia="uk-UA" w:bidi="uk-UA"/>
      </w:rPr>
    </w:lvl>
    <w:lvl w:ilvl="7" w:tplc="88940ADE">
      <w:numFmt w:val="bullet"/>
      <w:lvlText w:val="•"/>
      <w:lvlJc w:val="left"/>
      <w:pPr>
        <w:ind w:left="7128" w:hanging="852"/>
      </w:pPr>
      <w:rPr>
        <w:rFonts w:hint="default"/>
        <w:lang w:val="uk-UA" w:eastAsia="uk-UA" w:bidi="uk-UA"/>
      </w:rPr>
    </w:lvl>
    <w:lvl w:ilvl="8" w:tplc="34562614">
      <w:numFmt w:val="bullet"/>
      <w:lvlText w:val="•"/>
      <w:lvlJc w:val="left"/>
      <w:pPr>
        <w:ind w:left="8101" w:hanging="852"/>
      </w:pPr>
      <w:rPr>
        <w:rFonts w:hint="default"/>
        <w:lang w:val="uk-UA" w:eastAsia="uk-UA" w:bidi="uk-UA"/>
      </w:rPr>
    </w:lvl>
  </w:abstractNum>
  <w:abstractNum w:abstractNumId="2">
    <w:nsid w:val="52AB36FA"/>
    <w:multiLevelType w:val="hybridMultilevel"/>
    <w:tmpl w:val="813ECA78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71A920EF"/>
    <w:multiLevelType w:val="hybridMultilevel"/>
    <w:tmpl w:val="39025D42"/>
    <w:lvl w:ilvl="0" w:tplc="1974C208">
      <w:numFmt w:val="bullet"/>
      <w:lvlText w:val=""/>
      <w:lvlJc w:val="left"/>
      <w:pPr>
        <w:ind w:left="318" w:hanging="425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539AC400">
      <w:numFmt w:val="bullet"/>
      <w:lvlText w:val="•"/>
      <w:lvlJc w:val="left"/>
      <w:pPr>
        <w:ind w:left="1292" w:hanging="425"/>
      </w:pPr>
      <w:rPr>
        <w:rFonts w:hint="default"/>
        <w:lang w:val="uk-UA" w:eastAsia="uk-UA" w:bidi="uk-UA"/>
      </w:rPr>
    </w:lvl>
    <w:lvl w:ilvl="2" w:tplc="ECAE865A">
      <w:numFmt w:val="bullet"/>
      <w:lvlText w:val="•"/>
      <w:lvlJc w:val="left"/>
      <w:pPr>
        <w:ind w:left="2265" w:hanging="425"/>
      </w:pPr>
      <w:rPr>
        <w:rFonts w:hint="default"/>
        <w:lang w:val="uk-UA" w:eastAsia="uk-UA" w:bidi="uk-UA"/>
      </w:rPr>
    </w:lvl>
    <w:lvl w:ilvl="3" w:tplc="BAE0DBA4">
      <w:numFmt w:val="bullet"/>
      <w:lvlText w:val="•"/>
      <w:lvlJc w:val="left"/>
      <w:pPr>
        <w:ind w:left="3237" w:hanging="425"/>
      </w:pPr>
      <w:rPr>
        <w:rFonts w:hint="default"/>
        <w:lang w:val="uk-UA" w:eastAsia="uk-UA" w:bidi="uk-UA"/>
      </w:rPr>
    </w:lvl>
    <w:lvl w:ilvl="4" w:tplc="C894783C">
      <w:numFmt w:val="bullet"/>
      <w:lvlText w:val="•"/>
      <w:lvlJc w:val="left"/>
      <w:pPr>
        <w:ind w:left="4210" w:hanging="425"/>
      </w:pPr>
      <w:rPr>
        <w:rFonts w:hint="default"/>
        <w:lang w:val="uk-UA" w:eastAsia="uk-UA" w:bidi="uk-UA"/>
      </w:rPr>
    </w:lvl>
    <w:lvl w:ilvl="5" w:tplc="18303B96">
      <w:numFmt w:val="bullet"/>
      <w:lvlText w:val="•"/>
      <w:lvlJc w:val="left"/>
      <w:pPr>
        <w:ind w:left="5183" w:hanging="425"/>
      </w:pPr>
      <w:rPr>
        <w:rFonts w:hint="default"/>
        <w:lang w:val="uk-UA" w:eastAsia="uk-UA" w:bidi="uk-UA"/>
      </w:rPr>
    </w:lvl>
    <w:lvl w:ilvl="6" w:tplc="6D469C7A">
      <w:numFmt w:val="bullet"/>
      <w:lvlText w:val="•"/>
      <w:lvlJc w:val="left"/>
      <w:pPr>
        <w:ind w:left="6155" w:hanging="425"/>
      </w:pPr>
      <w:rPr>
        <w:rFonts w:hint="default"/>
        <w:lang w:val="uk-UA" w:eastAsia="uk-UA" w:bidi="uk-UA"/>
      </w:rPr>
    </w:lvl>
    <w:lvl w:ilvl="7" w:tplc="935CD150">
      <w:numFmt w:val="bullet"/>
      <w:lvlText w:val="•"/>
      <w:lvlJc w:val="left"/>
      <w:pPr>
        <w:ind w:left="7128" w:hanging="425"/>
      </w:pPr>
      <w:rPr>
        <w:rFonts w:hint="default"/>
        <w:lang w:val="uk-UA" w:eastAsia="uk-UA" w:bidi="uk-UA"/>
      </w:rPr>
    </w:lvl>
    <w:lvl w:ilvl="8" w:tplc="947E44AA">
      <w:numFmt w:val="bullet"/>
      <w:lvlText w:val="•"/>
      <w:lvlJc w:val="left"/>
      <w:pPr>
        <w:ind w:left="8101" w:hanging="425"/>
      </w:pPr>
      <w:rPr>
        <w:rFonts w:hint="default"/>
        <w:lang w:val="uk-UA" w:eastAsia="uk-UA" w:bidi="uk-UA"/>
      </w:rPr>
    </w:lvl>
  </w:abstractNum>
  <w:abstractNum w:abstractNumId="4">
    <w:nsid w:val="76F02688"/>
    <w:multiLevelType w:val="hybridMultilevel"/>
    <w:tmpl w:val="AFAA7E7A"/>
    <w:lvl w:ilvl="0" w:tplc="8E5A95DA">
      <w:start w:val="1"/>
      <w:numFmt w:val="decimal"/>
      <w:lvlText w:val="%1."/>
      <w:lvlJc w:val="left"/>
      <w:pPr>
        <w:ind w:left="3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1C0C592">
      <w:start w:val="1"/>
      <w:numFmt w:val="decimal"/>
      <w:lvlText w:val="%2."/>
      <w:lvlJc w:val="left"/>
      <w:pPr>
        <w:ind w:left="318" w:hanging="7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00BA1FD8">
      <w:start w:val="35"/>
      <w:numFmt w:val="decimal"/>
      <w:lvlText w:val="%3."/>
      <w:lvlJc w:val="left"/>
      <w:pPr>
        <w:ind w:left="2408" w:hanging="42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3" w:tplc="29E48A36">
      <w:start w:val="1"/>
      <w:numFmt w:val="decimal"/>
      <w:lvlText w:val="%4)"/>
      <w:lvlJc w:val="left"/>
      <w:pPr>
        <w:ind w:left="318" w:hanging="5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4" w:tplc="AEA46B6E">
      <w:numFmt w:val="bullet"/>
      <w:lvlText w:val="•"/>
      <w:lvlJc w:val="left"/>
      <w:pPr>
        <w:ind w:left="5346" w:hanging="516"/>
      </w:pPr>
      <w:rPr>
        <w:rFonts w:hint="default"/>
        <w:lang w:val="uk-UA" w:eastAsia="uk-UA" w:bidi="uk-UA"/>
      </w:rPr>
    </w:lvl>
    <w:lvl w:ilvl="5" w:tplc="B1F8FF4A">
      <w:numFmt w:val="bullet"/>
      <w:lvlText w:val="•"/>
      <w:lvlJc w:val="left"/>
      <w:pPr>
        <w:ind w:left="6129" w:hanging="516"/>
      </w:pPr>
      <w:rPr>
        <w:rFonts w:hint="default"/>
        <w:lang w:val="uk-UA" w:eastAsia="uk-UA" w:bidi="uk-UA"/>
      </w:rPr>
    </w:lvl>
    <w:lvl w:ilvl="6" w:tplc="46325ED8">
      <w:numFmt w:val="bullet"/>
      <w:lvlText w:val="•"/>
      <w:lvlJc w:val="left"/>
      <w:pPr>
        <w:ind w:left="6913" w:hanging="516"/>
      </w:pPr>
      <w:rPr>
        <w:rFonts w:hint="default"/>
        <w:lang w:val="uk-UA" w:eastAsia="uk-UA" w:bidi="uk-UA"/>
      </w:rPr>
    </w:lvl>
    <w:lvl w:ilvl="7" w:tplc="FF00359A">
      <w:numFmt w:val="bullet"/>
      <w:lvlText w:val="•"/>
      <w:lvlJc w:val="left"/>
      <w:pPr>
        <w:ind w:left="7696" w:hanging="516"/>
      </w:pPr>
      <w:rPr>
        <w:rFonts w:hint="default"/>
        <w:lang w:val="uk-UA" w:eastAsia="uk-UA" w:bidi="uk-UA"/>
      </w:rPr>
    </w:lvl>
    <w:lvl w:ilvl="8" w:tplc="BDFCEA32">
      <w:numFmt w:val="bullet"/>
      <w:lvlText w:val="•"/>
      <w:lvlJc w:val="left"/>
      <w:pPr>
        <w:ind w:left="8479" w:hanging="516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17"/>
    <w:rsid w:val="000278D2"/>
    <w:rsid w:val="006D48C9"/>
    <w:rsid w:val="00C1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C17217"/>
    <w:pPr>
      <w:ind w:left="102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7217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C17217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721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C17217"/>
    <w:pPr>
      <w:ind w:left="318" w:hanging="361"/>
    </w:pPr>
  </w:style>
  <w:style w:type="character" w:styleId="a6">
    <w:name w:val="Hyperlink"/>
    <w:basedOn w:val="a0"/>
    <w:uiPriority w:val="99"/>
    <w:unhideWhenUsed/>
    <w:rsid w:val="00C17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C17217"/>
    <w:pPr>
      <w:ind w:left="102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7217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C17217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721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C17217"/>
    <w:pPr>
      <w:ind w:left="318" w:hanging="361"/>
    </w:pPr>
  </w:style>
  <w:style w:type="character" w:styleId="a6">
    <w:name w:val="Hyperlink"/>
    <w:basedOn w:val="a0"/>
    <w:uiPriority w:val="99"/>
    <w:unhideWhenUsed/>
    <w:rsid w:val="00C17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3609</Characters>
  <Application>Microsoft Office Word</Application>
  <DocSecurity>0</DocSecurity>
  <Lines>30</Lines>
  <Paragraphs>8</Paragraphs>
  <ScaleCrop>false</ScaleCrop>
  <Company>HP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2022-02-15T17:37:00Z</cp:lastPrinted>
  <dcterms:created xsi:type="dcterms:W3CDTF">2022-02-15T17:07:00Z</dcterms:created>
  <dcterms:modified xsi:type="dcterms:W3CDTF">2022-02-15T17:38:00Z</dcterms:modified>
</cp:coreProperties>
</file>