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A0" w:rsidRDefault="001053A0" w:rsidP="001053A0">
      <w:pPr>
        <w:pStyle w:val="2"/>
        <w:tabs>
          <w:tab w:val="left" w:pos="1828"/>
        </w:tabs>
        <w:ind w:left="0"/>
        <w:jc w:val="both"/>
      </w:pPr>
      <w:r>
        <w:t xml:space="preserve">Урок </w:t>
      </w:r>
      <w:r w:rsidRPr="001053A0">
        <w:rPr>
          <w:b w:val="0"/>
        </w:rPr>
        <w:t>18</w:t>
      </w:r>
    </w:p>
    <w:p w:rsidR="001053A0" w:rsidRDefault="001053A0" w:rsidP="001053A0">
      <w:pPr>
        <w:pStyle w:val="2"/>
        <w:tabs>
          <w:tab w:val="left" w:pos="1828"/>
        </w:tabs>
        <w:ind w:left="0"/>
        <w:jc w:val="both"/>
        <w:rPr>
          <w:b w:val="0"/>
        </w:rPr>
      </w:pPr>
      <w:r>
        <w:t xml:space="preserve">Тема уроку: </w:t>
      </w:r>
      <w:r w:rsidRPr="001053A0">
        <w:rPr>
          <w:b w:val="0"/>
        </w:rPr>
        <w:t>Діяльність Національного органу стандартизації</w:t>
      </w:r>
      <w:r w:rsidRPr="001053A0">
        <w:rPr>
          <w:b w:val="0"/>
          <w:spacing w:val="-8"/>
        </w:rPr>
        <w:t xml:space="preserve"> </w:t>
      </w:r>
      <w:r w:rsidRPr="001053A0">
        <w:rPr>
          <w:b w:val="0"/>
        </w:rPr>
        <w:t>(НОС)</w:t>
      </w:r>
    </w:p>
    <w:p w:rsidR="001053A0" w:rsidRDefault="001053A0" w:rsidP="001053A0">
      <w:pPr>
        <w:pStyle w:val="2"/>
        <w:tabs>
          <w:tab w:val="left" w:pos="1828"/>
        </w:tabs>
        <w:ind w:left="0"/>
        <w:jc w:val="both"/>
        <w:rPr>
          <w:b w:val="0"/>
        </w:rPr>
      </w:pPr>
      <w:r w:rsidRPr="001053A0">
        <w:t>Мета:</w:t>
      </w:r>
      <w:r>
        <w:rPr>
          <w:b w:val="0"/>
        </w:rPr>
        <w:t xml:space="preserve"> ознайомити учнів з основною діяльністю Національного органу стандартизації;</w:t>
      </w:r>
    </w:p>
    <w:p w:rsidR="001053A0" w:rsidRPr="001053A0" w:rsidRDefault="001053A0" w:rsidP="001053A0">
      <w:pPr>
        <w:pStyle w:val="2"/>
        <w:tabs>
          <w:tab w:val="left" w:pos="1828"/>
        </w:tabs>
        <w:ind w:left="0"/>
        <w:jc w:val="both"/>
      </w:pPr>
      <w:r w:rsidRPr="001053A0">
        <w:t>-знати:</w:t>
      </w:r>
    </w:p>
    <w:p w:rsidR="001053A0" w:rsidRDefault="001053A0" w:rsidP="001053A0">
      <w:pPr>
        <w:pStyle w:val="2"/>
        <w:tabs>
          <w:tab w:val="left" w:pos="1828"/>
        </w:tabs>
        <w:ind w:left="0"/>
        <w:jc w:val="both"/>
        <w:rPr>
          <w:b w:val="0"/>
        </w:rPr>
      </w:pPr>
      <w:r>
        <w:rPr>
          <w:b w:val="0"/>
        </w:rPr>
        <w:t>-чим передбачено створення Національного органу стандартизації;</w:t>
      </w:r>
    </w:p>
    <w:p w:rsidR="001053A0" w:rsidRDefault="001053A0" w:rsidP="001053A0">
      <w:pPr>
        <w:pStyle w:val="2"/>
        <w:tabs>
          <w:tab w:val="left" w:pos="1828"/>
        </w:tabs>
        <w:ind w:left="0"/>
        <w:jc w:val="both"/>
        <w:rPr>
          <w:b w:val="0"/>
        </w:rPr>
      </w:pPr>
      <w:r>
        <w:rPr>
          <w:b w:val="0"/>
        </w:rPr>
        <w:t>-повноваження НОС;</w:t>
      </w:r>
    </w:p>
    <w:p w:rsidR="001053A0" w:rsidRPr="001053A0" w:rsidRDefault="001053A0" w:rsidP="001053A0">
      <w:pPr>
        <w:pStyle w:val="2"/>
        <w:tabs>
          <w:tab w:val="left" w:pos="1828"/>
        </w:tabs>
        <w:ind w:left="0"/>
        <w:jc w:val="both"/>
        <w:rPr>
          <w:b w:val="0"/>
          <w:sz w:val="26"/>
        </w:rPr>
      </w:pPr>
    </w:p>
    <w:p w:rsidR="001053A0" w:rsidRDefault="001053A0" w:rsidP="001053A0">
      <w:pPr>
        <w:pStyle w:val="a3"/>
        <w:spacing w:before="158"/>
        <w:ind w:left="0" w:right="652" w:firstLine="318"/>
      </w:pPr>
      <w:r>
        <w:t>Угодою про асоціацію між Україною та ЄС передбачено створення національного органу стандартизації (HOC), який є аналогом органу стандартизації, що визнаний на національному рівні та має право бути національним членом відповідних міжнародних та регіональних організацій стандартизації.</w:t>
      </w:r>
    </w:p>
    <w:p w:rsidR="001053A0" w:rsidRDefault="001053A0" w:rsidP="001053A0">
      <w:pPr>
        <w:pStyle w:val="a3"/>
        <w:spacing w:before="73"/>
        <w:ind w:left="0" w:right="652" w:firstLine="318"/>
      </w:pPr>
      <w:r>
        <w:t>Розпорядженням КМУ від 26.11.2014 № 1163-р визначено, що функції НОС виконує державне підприємство “Український науково- дослідний і навчальний центр проблем стандартизації, сертифікації та якості ” (ДП «</w:t>
      </w:r>
      <w:proofErr w:type="spellStart"/>
      <w:r>
        <w:t>УкрНДНЦ</w:t>
      </w:r>
      <w:proofErr w:type="spellEnd"/>
      <w:r>
        <w:t>»).</w:t>
      </w:r>
    </w:p>
    <w:p w:rsidR="001053A0" w:rsidRDefault="001053A0" w:rsidP="001053A0">
      <w:pPr>
        <w:pStyle w:val="a3"/>
        <w:ind w:left="0" w:right="651" w:firstLine="318"/>
      </w:pPr>
      <w:r>
        <w:t xml:space="preserve">У 2016 році розпочато процес </w:t>
      </w:r>
      <w:proofErr w:type="spellStart"/>
      <w:r>
        <w:t>ребрендингу</w:t>
      </w:r>
      <w:proofErr w:type="spellEnd"/>
      <w:r>
        <w:t>, тобто зміни назви у зв’язку з прагненням колективу підприємства створити національний  орган стандартизації європейського зразка. Нова назва НОС — Українське Агентство зі Стандартизації. Отже, НОС, ДП «</w:t>
      </w:r>
      <w:proofErr w:type="spellStart"/>
      <w:r>
        <w:t>УкрНДНЦ</w:t>
      </w:r>
      <w:proofErr w:type="spellEnd"/>
      <w:r>
        <w:t>» та УАС (UAS) – це одне й те саме</w:t>
      </w:r>
      <w:r>
        <w:rPr>
          <w:spacing w:val="-5"/>
        </w:rPr>
        <w:t xml:space="preserve"> </w:t>
      </w:r>
      <w:r>
        <w:t>підприємство.</w:t>
      </w:r>
    </w:p>
    <w:p w:rsidR="001053A0" w:rsidRDefault="001053A0" w:rsidP="001053A0">
      <w:pPr>
        <w:pStyle w:val="a3"/>
        <w:spacing w:line="321" w:lineRule="exact"/>
        <w:ind w:left="0" w:firstLine="318"/>
        <w:jc w:val="left"/>
      </w:pPr>
      <w:r>
        <w:t>До повноважень НОС належить зокрема:</w:t>
      </w:r>
    </w:p>
    <w:p w:rsidR="001053A0" w:rsidRDefault="001053A0" w:rsidP="001053A0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ind w:right="653" w:firstLine="359"/>
        <w:rPr>
          <w:rFonts w:ascii="Symbol" w:hAnsi="Symbol"/>
          <w:sz w:val="28"/>
        </w:rPr>
      </w:pPr>
      <w:r>
        <w:rPr>
          <w:sz w:val="28"/>
        </w:rPr>
        <w:t>прийняття та скасування національних стандартів (</w:t>
      </w:r>
      <w:r>
        <w:rPr>
          <w:i/>
          <w:sz w:val="28"/>
        </w:rPr>
        <w:t>у тому числі у сфері будівництва через два роки після опублікування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закону</w:t>
      </w:r>
      <w:r>
        <w:rPr>
          <w:sz w:val="28"/>
        </w:rPr>
        <w:t>);</w:t>
      </w:r>
    </w:p>
    <w:p w:rsidR="001053A0" w:rsidRDefault="001053A0" w:rsidP="001053A0">
      <w:pPr>
        <w:pStyle w:val="a5"/>
        <w:numPr>
          <w:ilvl w:val="0"/>
          <w:numId w:val="2"/>
        </w:numPr>
        <w:tabs>
          <w:tab w:val="left" w:pos="1026"/>
          <w:tab w:val="left" w:pos="1027"/>
          <w:tab w:val="left" w:pos="2603"/>
          <w:tab w:val="left" w:pos="3145"/>
          <w:tab w:val="left" w:pos="5082"/>
          <w:tab w:val="left" w:pos="6515"/>
          <w:tab w:val="left" w:pos="7434"/>
          <w:tab w:val="left" w:pos="7837"/>
        </w:tabs>
        <w:ind w:right="654" w:firstLine="359"/>
        <w:rPr>
          <w:rFonts w:ascii="Symbol" w:hAnsi="Symbol"/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та</w:t>
      </w:r>
      <w:r>
        <w:rPr>
          <w:sz w:val="28"/>
        </w:rPr>
        <w:tab/>
        <w:t>затвердження</w:t>
      </w:r>
      <w:r>
        <w:rPr>
          <w:sz w:val="28"/>
        </w:rPr>
        <w:tab/>
        <w:t>програми</w:t>
      </w:r>
      <w:r>
        <w:rPr>
          <w:sz w:val="28"/>
        </w:rPr>
        <w:tab/>
        <w:t>робіт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 xml:space="preserve">національної </w:t>
      </w:r>
      <w:r>
        <w:rPr>
          <w:sz w:val="28"/>
        </w:rPr>
        <w:t>стандартизації;</w:t>
      </w:r>
    </w:p>
    <w:p w:rsidR="001053A0" w:rsidRDefault="001053A0" w:rsidP="001053A0">
      <w:pPr>
        <w:pStyle w:val="a5"/>
        <w:numPr>
          <w:ilvl w:val="0"/>
          <w:numId w:val="2"/>
        </w:numPr>
        <w:tabs>
          <w:tab w:val="left" w:pos="1027"/>
          <w:tab w:val="left" w:pos="1028"/>
          <w:tab w:val="left" w:pos="2846"/>
          <w:tab w:val="left" w:pos="4811"/>
          <w:tab w:val="left" w:pos="6563"/>
          <w:tab w:val="left" w:pos="8279"/>
        </w:tabs>
        <w:ind w:left="319" w:right="651" w:firstLine="359"/>
        <w:rPr>
          <w:rFonts w:ascii="Symbol" w:hAnsi="Symbol"/>
          <w:sz w:val="28"/>
        </w:rPr>
      </w:pPr>
      <w:r>
        <w:rPr>
          <w:sz w:val="28"/>
        </w:rPr>
        <w:t>утворення,</w:t>
      </w:r>
      <w:r>
        <w:rPr>
          <w:sz w:val="28"/>
        </w:rPr>
        <w:tab/>
        <w:t>припинення</w:t>
      </w:r>
      <w:r>
        <w:rPr>
          <w:sz w:val="28"/>
        </w:rPr>
        <w:tab/>
        <w:t>діяльності</w:t>
      </w:r>
      <w:r>
        <w:rPr>
          <w:sz w:val="28"/>
        </w:rPr>
        <w:tab/>
        <w:t>технічних</w:t>
      </w:r>
      <w:r>
        <w:rPr>
          <w:sz w:val="28"/>
        </w:rPr>
        <w:tab/>
      </w:r>
      <w:r>
        <w:rPr>
          <w:spacing w:val="-3"/>
          <w:sz w:val="28"/>
        </w:rPr>
        <w:t xml:space="preserve">комітетів </w:t>
      </w:r>
      <w:r>
        <w:rPr>
          <w:sz w:val="28"/>
        </w:rPr>
        <w:t>стандартизації (ТК) та координація їх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діяльності;</w:t>
      </w:r>
    </w:p>
    <w:p w:rsidR="001053A0" w:rsidRDefault="001053A0" w:rsidP="001053A0">
      <w:pPr>
        <w:pStyle w:val="a5"/>
        <w:numPr>
          <w:ilvl w:val="0"/>
          <w:numId w:val="2"/>
        </w:numPr>
        <w:tabs>
          <w:tab w:val="left" w:pos="1039"/>
          <w:tab w:val="left" w:pos="1040"/>
        </w:tabs>
        <w:ind w:left="319" w:right="1242" w:firstLine="359"/>
        <w:rPr>
          <w:rFonts w:ascii="Symbol" w:hAnsi="Symbol"/>
          <w:sz w:val="28"/>
        </w:rPr>
      </w:pPr>
      <w:r>
        <w:rPr>
          <w:sz w:val="28"/>
        </w:rPr>
        <w:t>представлення інтересів України в міжнародних та регіональних організаціях зі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стандартизації;</w:t>
      </w:r>
    </w:p>
    <w:p w:rsidR="001053A0" w:rsidRDefault="001053A0" w:rsidP="001053A0">
      <w:pPr>
        <w:pStyle w:val="a5"/>
        <w:numPr>
          <w:ilvl w:val="0"/>
          <w:numId w:val="2"/>
        </w:numPr>
        <w:tabs>
          <w:tab w:val="left" w:pos="1039"/>
          <w:tab w:val="left" w:pos="1040"/>
        </w:tabs>
        <w:ind w:left="1039" w:hanging="361"/>
        <w:rPr>
          <w:rFonts w:ascii="Symbol" w:hAnsi="Symbol"/>
          <w:sz w:val="28"/>
        </w:rPr>
      </w:pPr>
      <w:r>
        <w:rPr>
          <w:sz w:val="28"/>
        </w:rPr>
        <w:t>видання, відтворення та розповсюдження національних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стандартів;</w:t>
      </w:r>
    </w:p>
    <w:p w:rsidR="001053A0" w:rsidRDefault="001053A0" w:rsidP="001053A0">
      <w:pPr>
        <w:pStyle w:val="a5"/>
        <w:numPr>
          <w:ilvl w:val="0"/>
          <w:numId w:val="2"/>
        </w:numPr>
        <w:tabs>
          <w:tab w:val="left" w:pos="1027"/>
          <w:tab w:val="left" w:pos="1028"/>
          <w:tab w:val="left" w:pos="2822"/>
          <w:tab w:val="left" w:pos="3393"/>
          <w:tab w:val="left" w:pos="4674"/>
          <w:tab w:val="left" w:pos="6730"/>
          <w:tab w:val="left" w:pos="7810"/>
        </w:tabs>
        <w:ind w:left="319" w:right="655" w:firstLine="359"/>
        <w:rPr>
          <w:rFonts w:ascii="Symbol" w:hAnsi="Symbol"/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та</w:t>
      </w:r>
      <w:r>
        <w:rPr>
          <w:sz w:val="28"/>
        </w:rPr>
        <w:tab/>
        <w:t>ведення</w:t>
      </w:r>
      <w:r>
        <w:rPr>
          <w:sz w:val="28"/>
        </w:rPr>
        <w:tab/>
        <w:t>національного</w:t>
      </w:r>
      <w:r>
        <w:rPr>
          <w:sz w:val="28"/>
        </w:rPr>
        <w:tab/>
        <w:t>фонду</w:t>
      </w:r>
      <w:r>
        <w:rPr>
          <w:sz w:val="28"/>
        </w:rPr>
        <w:tab/>
      </w:r>
      <w:r>
        <w:rPr>
          <w:spacing w:val="-1"/>
          <w:sz w:val="28"/>
        </w:rPr>
        <w:t xml:space="preserve">нормативних </w:t>
      </w:r>
      <w:r>
        <w:rPr>
          <w:sz w:val="28"/>
        </w:rPr>
        <w:t>документів;</w:t>
      </w:r>
    </w:p>
    <w:p w:rsidR="001053A0" w:rsidRDefault="001053A0" w:rsidP="001053A0">
      <w:pPr>
        <w:pStyle w:val="a5"/>
        <w:numPr>
          <w:ilvl w:val="0"/>
          <w:numId w:val="2"/>
        </w:numPr>
        <w:tabs>
          <w:tab w:val="left" w:pos="1039"/>
          <w:tab w:val="left" w:pos="1041"/>
        </w:tabs>
        <w:ind w:left="459" w:right="2240" w:firstLine="220"/>
        <w:rPr>
          <w:rFonts w:ascii="Symbol" w:hAnsi="Symbol"/>
          <w:sz w:val="28"/>
        </w:rPr>
      </w:pPr>
      <w:r>
        <w:rPr>
          <w:sz w:val="28"/>
        </w:rPr>
        <w:t>складання та ведення каталогу національних стандартів. Національний орган стандартизації проводить роботи</w:t>
      </w:r>
      <w:r>
        <w:rPr>
          <w:spacing w:val="-18"/>
          <w:sz w:val="28"/>
        </w:rPr>
        <w:t xml:space="preserve"> </w:t>
      </w:r>
      <w:r>
        <w:rPr>
          <w:sz w:val="28"/>
        </w:rPr>
        <w:t>щодо:</w:t>
      </w:r>
    </w:p>
    <w:p w:rsidR="001053A0" w:rsidRDefault="001053A0" w:rsidP="001053A0">
      <w:pPr>
        <w:pStyle w:val="a5"/>
        <w:numPr>
          <w:ilvl w:val="0"/>
          <w:numId w:val="1"/>
        </w:numPr>
        <w:tabs>
          <w:tab w:val="left" w:pos="1028"/>
        </w:tabs>
        <w:ind w:right="649" w:firstLine="359"/>
        <w:jc w:val="both"/>
        <w:rPr>
          <w:rFonts w:ascii="Wingdings" w:hAnsi="Wingdings"/>
          <w:sz w:val="28"/>
        </w:rPr>
      </w:pPr>
      <w:r>
        <w:rPr>
          <w:sz w:val="28"/>
        </w:rPr>
        <w:t>організації та координації діяльності стосовно розроблення, прийняття, перевірки, перегляду, скасування та відновлення дії національних стандартів, кодексів усталеної практики та змін до них відповідно до 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Закону;</w:t>
      </w:r>
    </w:p>
    <w:p w:rsidR="001053A0" w:rsidRDefault="001053A0" w:rsidP="001053A0">
      <w:pPr>
        <w:pStyle w:val="a5"/>
        <w:numPr>
          <w:ilvl w:val="0"/>
          <w:numId w:val="1"/>
        </w:numPr>
        <w:tabs>
          <w:tab w:val="left" w:pos="1041"/>
        </w:tabs>
        <w:ind w:right="974" w:firstLine="359"/>
        <w:jc w:val="both"/>
        <w:rPr>
          <w:rFonts w:ascii="Wingdings" w:hAnsi="Wingdings"/>
          <w:sz w:val="28"/>
        </w:rPr>
      </w:pPr>
      <w:r>
        <w:rPr>
          <w:sz w:val="28"/>
        </w:rPr>
        <w:t>прийняття, скасування та відновлення дії національних стандартів, кодексів усталеної практики та змін до них відповідно до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Закону;</w:t>
      </w:r>
    </w:p>
    <w:p w:rsidR="001053A0" w:rsidRDefault="001053A0" w:rsidP="001053A0">
      <w:pPr>
        <w:pStyle w:val="a5"/>
        <w:numPr>
          <w:ilvl w:val="0"/>
          <w:numId w:val="1"/>
        </w:numPr>
        <w:tabs>
          <w:tab w:val="left" w:pos="1028"/>
        </w:tabs>
        <w:ind w:right="652" w:firstLine="359"/>
        <w:jc w:val="both"/>
        <w:rPr>
          <w:rFonts w:ascii="Wingdings" w:hAnsi="Wingdings"/>
          <w:sz w:val="28"/>
        </w:rPr>
      </w:pPr>
      <w:r>
        <w:rPr>
          <w:sz w:val="28"/>
        </w:rPr>
        <w:lastRenderedPageBreak/>
        <w:t>вжиття заходів стосовно гармонізації національних стандартів та кодексів усталеної практики з відповідними міжнародними, регіональними стандартами та кодексами усталеної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1053A0" w:rsidRDefault="001053A0" w:rsidP="001053A0">
      <w:pPr>
        <w:pStyle w:val="a5"/>
        <w:numPr>
          <w:ilvl w:val="0"/>
          <w:numId w:val="1"/>
        </w:numPr>
        <w:tabs>
          <w:tab w:val="left" w:pos="1028"/>
        </w:tabs>
        <w:spacing w:line="242" w:lineRule="auto"/>
        <w:ind w:right="649" w:firstLine="359"/>
        <w:jc w:val="both"/>
        <w:rPr>
          <w:rFonts w:ascii="Wingdings" w:hAnsi="Wingdings"/>
          <w:sz w:val="28"/>
        </w:rPr>
      </w:pPr>
      <w:r>
        <w:rPr>
          <w:sz w:val="28"/>
        </w:rPr>
        <w:t>забезпечення відповідності національних стандартів та кодексів усталеної 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законодавству;</w:t>
      </w:r>
    </w:p>
    <w:p w:rsidR="007B7582" w:rsidRPr="001053A0" w:rsidRDefault="001053A0" w:rsidP="001053A0">
      <w:pPr>
        <w:tabs>
          <w:tab w:val="left" w:pos="1027"/>
        </w:tabs>
        <w:ind w:right="651" w:hanging="318"/>
        <w:jc w:val="both"/>
      </w:pPr>
      <w:r>
        <w:rPr>
          <w:sz w:val="28"/>
        </w:rPr>
        <w:t xml:space="preserve">       </w:t>
      </w:r>
      <w:r w:rsidRPr="001053A0">
        <w:rPr>
          <w:sz w:val="28"/>
        </w:rPr>
        <w:t>забезпечення адаптації національних стандартів та кодексів усталеної практики до сучасних досягнень науки і</w:t>
      </w:r>
      <w:r w:rsidRPr="001053A0">
        <w:rPr>
          <w:spacing w:val="-8"/>
          <w:sz w:val="28"/>
        </w:rPr>
        <w:t xml:space="preserve"> </w:t>
      </w:r>
      <w:r w:rsidRPr="001053A0">
        <w:rPr>
          <w:sz w:val="28"/>
        </w:rPr>
        <w:t>техніки</w:t>
      </w:r>
      <w:r w:rsidRPr="001053A0">
        <w:rPr>
          <w:sz w:val="24"/>
        </w:rPr>
        <w:t>.</w:t>
      </w:r>
    </w:p>
    <w:p w:rsidR="001053A0" w:rsidRDefault="001053A0" w:rsidP="001053A0">
      <w:pPr>
        <w:tabs>
          <w:tab w:val="left" w:pos="1027"/>
        </w:tabs>
        <w:ind w:right="651"/>
        <w:jc w:val="both"/>
      </w:pPr>
    </w:p>
    <w:p w:rsidR="001053A0" w:rsidRDefault="001053A0" w:rsidP="001053A0">
      <w:pPr>
        <w:tabs>
          <w:tab w:val="left" w:pos="1027"/>
        </w:tabs>
        <w:ind w:right="651"/>
        <w:jc w:val="both"/>
        <w:rPr>
          <w:sz w:val="28"/>
          <w:szCs w:val="28"/>
        </w:rPr>
      </w:pPr>
      <w:r w:rsidRPr="001053A0">
        <w:rPr>
          <w:b/>
          <w:sz w:val="28"/>
          <w:szCs w:val="28"/>
        </w:rPr>
        <w:t>Питання для самоконтролю</w:t>
      </w:r>
      <w:r w:rsidRPr="001053A0">
        <w:rPr>
          <w:sz w:val="28"/>
          <w:szCs w:val="28"/>
        </w:rPr>
        <w:t>:</w:t>
      </w:r>
    </w:p>
    <w:p w:rsidR="001053A0" w:rsidRDefault="001053A0" w:rsidP="001053A0">
      <w:pPr>
        <w:pStyle w:val="a5"/>
        <w:numPr>
          <w:ilvl w:val="0"/>
          <w:numId w:val="8"/>
        </w:numPr>
        <w:tabs>
          <w:tab w:val="left" w:pos="1027"/>
        </w:tabs>
        <w:ind w:right="651"/>
        <w:jc w:val="both"/>
        <w:rPr>
          <w:b/>
          <w:sz w:val="28"/>
          <w:szCs w:val="28"/>
        </w:rPr>
      </w:pPr>
      <w:r w:rsidRPr="001053A0">
        <w:rPr>
          <w:b/>
          <w:sz w:val="28"/>
          <w:szCs w:val="28"/>
        </w:rPr>
        <w:t>Чим передбачено створення Національного органу стандартизації?</w:t>
      </w:r>
    </w:p>
    <w:p w:rsidR="001053A0" w:rsidRDefault="001053A0" w:rsidP="001053A0">
      <w:pPr>
        <w:pStyle w:val="a5"/>
        <w:numPr>
          <w:ilvl w:val="0"/>
          <w:numId w:val="8"/>
        </w:numPr>
        <w:tabs>
          <w:tab w:val="left" w:pos="1027"/>
        </w:tabs>
        <w:ind w:right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повноваження НОС?</w:t>
      </w:r>
    </w:p>
    <w:p w:rsidR="001053A0" w:rsidRDefault="001053A0" w:rsidP="001053A0">
      <w:pPr>
        <w:pStyle w:val="a5"/>
        <w:numPr>
          <w:ilvl w:val="0"/>
          <w:numId w:val="8"/>
        </w:numPr>
        <w:tabs>
          <w:tab w:val="left" w:pos="1027"/>
        </w:tabs>
        <w:ind w:right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Які роботи проводить Національний орган стандартизації?</w:t>
      </w:r>
    </w:p>
    <w:p w:rsidR="001053A0" w:rsidRPr="001053A0" w:rsidRDefault="001053A0" w:rsidP="001053A0">
      <w:pPr>
        <w:tabs>
          <w:tab w:val="left" w:pos="1027"/>
        </w:tabs>
        <w:ind w:right="651"/>
        <w:jc w:val="both"/>
        <w:rPr>
          <w:b/>
          <w:sz w:val="28"/>
          <w:szCs w:val="28"/>
        </w:rPr>
      </w:pPr>
      <w:bookmarkStart w:id="0" w:name="_GoBack"/>
      <w:bookmarkEnd w:id="0"/>
    </w:p>
    <w:p w:rsidR="001053A0" w:rsidRPr="001053A0" w:rsidRDefault="001053A0" w:rsidP="001053A0">
      <w:pPr>
        <w:pStyle w:val="a5"/>
        <w:tabs>
          <w:tab w:val="left" w:pos="1027"/>
        </w:tabs>
        <w:ind w:left="677" w:right="651" w:firstLine="0"/>
        <w:jc w:val="both"/>
        <w:rPr>
          <w:b/>
          <w:sz w:val="28"/>
          <w:szCs w:val="28"/>
        </w:rPr>
      </w:pPr>
    </w:p>
    <w:sectPr w:rsidR="001053A0" w:rsidRPr="001053A0" w:rsidSect="001053A0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AD3"/>
    <w:multiLevelType w:val="hybridMultilevel"/>
    <w:tmpl w:val="4E662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6983"/>
    <w:multiLevelType w:val="hybridMultilevel"/>
    <w:tmpl w:val="3632966A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523F6F77"/>
    <w:multiLevelType w:val="hybridMultilevel"/>
    <w:tmpl w:val="00CC13AE"/>
    <w:lvl w:ilvl="0" w:tplc="0419000B">
      <w:start w:val="1"/>
      <w:numFmt w:val="bullet"/>
      <w:lvlText w:val=""/>
      <w:lvlJc w:val="left"/>
      <w:pPr>
        <w:ind w:left="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">
    <w:nsid w:val="52C807D9"/>
    <w:multiLevelType w:val="hybridMultilevel"/>
    <w:tmpl w:val="7FA44D36"/>
    <w:lvl w:ilvl="0" w:tplc="886AD5E6">
      <w:numFmt w:val="bullet"/>
      <w:lvlText w:val=""/>
      <w:lvlJc w:val="left"/>
      <w:pPr>
        <w:ind w:left="320" w:hanging="348"/>
      </w:pPr>
      <w:rPr>
        <w:rFonts w:hint="default"/>
        <w:w w:val="100"/>
        <w:lang w:val="uk-UA" w:eastAsia="uk-UA" w:bidi="uk-UA"/>
      </w:rPr>
    </w:lvl>
    <w:lvl w:ilvl="1" w:tplc="725A5A7E">
      <w:numFmt w:val="bullet"/>
      <w:lvlText w:val=""/>
      <w:lvlJc w:val="left"/>
      <w:pPr>
        <w:ind w:left="459" w:hanging="356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2" w:tplc="1A5A40FC">
      <w:numFmt w:val="bullet"/>
      <w:lvlText w:val="•"/>
      <w:lvlJc w:val="left"/>
      <w:pPr>
        <w:ind w:left="1525" w:hanging="356"/>
      </w:pPr>
      <w:rPr>
        <w:rFonts w:hint="default"/>
        <w:lang w:val="uk-UA" w:eastAsia="uk-UA" w:bidi="uk-UA"/>
      </w:rPr>
    </w:lvl>
    <w:lvl w:ilvl="3" w:tplc="7CD8FD66">
      <w:numFmt w:val="bullet"/>
      <w:lvlText w:val="•"/>
      <w:lvlJc w:val="left"/>
      <w:pPr>
        <w:ind w:left="2590" w:hanging="356"/>
      </w:pPr>
      <w:rPr>
        <w:rFonts w:hint="default"/>
        <w:lang w:val="uk-UA" w:eastAsia="uk-UA" w:bidi="uk-UA"/>
      </w:rPr>
    </w:lvl>
    <w:lvl w:ilvl="4" w:tplc="D0C81D56">
      <w:numFmt w:val="bullet"/>
      <w:lvlText w:val="•"/>
      <w:lvlJc w:val="left"/>
      <w:pPr>
        <w:ind w:left="3655" w:hanging="356"/>
      </w:pPr>
      <w:rPr>
        <w:rFonts w:hint="default"/>
        <w:lang w:val="uk-UA" w:eastAsia="uk-UA" w:bidi="uk-UA"/>
      </w:rPr>
    </w:lvl>
    <w:lvl w:ilvl="5" w:tplc="E216FE40">
      <w:numFmt w:val="bullet"/>
      <w:lvlText w:val="•"/>
      <w:lvlJc w:val="left"/>
      <w:pPr>
        <w:ind w:left="4720" w:hanging="356"/>
      </w:pPr>
      <w:rPr>
        <w:rFonts w:hint="default"/>
        <w:lang w:val="uk-UA" w:eastAsia="uk-UA" w:bidi="uk-UA"/>
      </w:rPr>
    </w:lvl>
    <w:lvl w:ilvl="6" w:tplc="90B28A16">
      <w:numFmt w:val="bullet"/>
      <w:lvlText w:val="•"/>
      <w:lvlJc w:val="left"/>
      <w:pPr>
        <w:ind w:left="5785" w:hanging="356"/>
      </w:pPr>
      <w:rPr>
        <w:rFonts w:hint="default"/>
        <w:lang w:val="uk-UA" w:eastAsia="uk-UA" w:bidi="uk-UA"/>
      </w:rPr>
    </w:lvl>
    <w:lvl w:ilvl="7" w:tplc="F31AB9AE">
      <w:numFmt w:val="bullet"/>
      <w:lvlText w:val="•"/>
      <w:lvlJc w:val="left"/>
      <w:pPr>
        <w:ind w:left="6850" w:hanging="356"/>
      </w:pPr>
      <w:rPr>
        <w:rFonts w:hint="default"/>
        <w:lang w:val="uk-UA" w:eastAsia="uk-UA" w:bidi="uk-UA"/>
      </w:rPr>
    </w:lvl>
    <w:lvl w:ilvl="8" w:tplc="CDDE574E">
      <w:numFmt w:val="bullet"/>
      <w:lvlText w:val="•"/>
      <w:lvlJc w:val="left"/>
      <w:pPr>
        <w:ind w:left="7916" w:hanging="356"/>
      </w:pPr>
      <w:rPr>
        <w:rFonts w:hint="default"/>
        <w:lang w:val="uk-UA" w:eastAsia="uk-UA" w:bidi="uk-UA"/>
      </w:rPr>
    </w:lvl>
  </w:abstractNum>
  <w:abstractNum w:abstractNumId="4">
    <w:nsid w:val="57897E52"/>
    <w:multiLevelType w:val="hybridMultilevel"/>
    <w:tmpl w:val="BAF26814"/>
    <w:lvl w:ilvl="0" w:tplc="0419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76712777"/>
    <w:multiLevelType w:val="hybridMultilevel"/>
    <w:tmpl w:val="95A09C5A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6F02688"/>
    <w:multiLevelType w:val="hybridMultilevel"/>
    <w:tmpl w:val="AFAA7E7A"/>
    <w:lvl w:ilvl="0" w:tplc="8E5A95DA">
      <w:start w:val="1"/>
      <w:numFmt w:val="decimal"/>
      <w:lvlText w:val="%1."/>
      <w:lvlJc w:val="left"/>
      <w:pPr>
        <w:ind w:left="3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1C0C592">
      <w:start w:val="1"/>
      <w:numFmt w:val="decimal"/>
      <w:lvlText w:val="%2."/>
      <w:lvlJc w:val="left"/>
      <w:pPr>
        <w:ind w:left="318" w:hanging="7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00BA1FD8">
      <w:start w:val="35"/>
      <w:numFmt w:val="decimal"/>
      <w:lvlText w:val="%3."/>
      <w:lvlJc w:val="left"/>
      <w:pPr>
        <w:ind w:left="3772" w:hanging="42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3" w:tplc="29E48A36">
      <w:start w:val="1"/>
      <w:numFmt w:val="decimal"/>
      <w:lvlText w:val="%4)"/>
      <w:lvlJc w:val="left"/>
      <w:pPr>
        <w:ind w:left="318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4" w:tplc="AEA46B6E">
      <w:numFmt w:val="bullet"/>
      <w:lvlText w:val="•"/>
      <w:lvlJc w:val="left"/>
      <w:pPr>
        <w:ind w:left="5346" w:hanging="516"/>
      </w:pPr>
      <w:rPr>
        <w:rFonts w:hint="default"/>
        <w:lang w:val="uk-UA" w:eastAsia="uk-UA" w:bidi="uk-UA"/>
      </w:rPr>
    </w:lvl>
    <w:lvl w:ilvl="5" w:tplc="B1F8FF4A">
      <w:numFmt w:val="bullet"/>
      <w:lvlText w:val="•"/>
      <w:lvlJc w:val="left"/>
      <w:pPr>
        <w:ind w:left="6129" w:hanging="516"/>
      </w:pPr>
      <w:rPr>
        <w:rFonts w:hint="default"/>
        <w:lang w:val="uk-UA" w:eastAsia="uk-UA" w:bidi="uk-UA"/>
      </w:rPr>
    </w:lvl>
    <w:lvl w:ilvl="6" w:tplc="46325ED8">
      <w:numFmt w:val="bullet"/>
      <w:lvlText w:val="•"/>
      <w:lvlJc w:val="left"/>
      <w:pPr>
        <w:ind w:left="6913" w:hanging="516"/>
      </w:pPr>
      <w:rPr>
        <w:rFonts w:hint="default"/>
        <w:lang w:val="uk-UA" w:eastAsia="uk-UA" w:bidi="uk-UA"/>
      </w:rPr>
    </w:lvl>
    <w:lvl w:ilvl="7" w:tplc="FF00359A">
      <w:numFmt w:val="bullet"/>
      <w:lvlText w:val="•"/>
      <w:lvlJc w:val="left"/>
      <w:pPr>
        <w:ind w:left="7696" w:hanging="516"/>
      </w:pPr>
      <w:rPr>
        <w:rFonts w:hint="default"/>
        <w:lang w:val="uk-UA" w:eastAsia="uk-UA" w:bidi="uk-UA"/>
      </w:rPr>
    </w:lvl>
    <w:lvl w:ilvl="8" w:tplc="BDFCEA32">
      <w:numFmt w:val="bullet"/>
      <w:lvlText w:val="•"/>
      <w:lvlJc w:val="left"/>
      <w:pPr>
        <w:ind w:left="8479" w:hanging="516"/>
      </w:pPr>
      <w:rPr>
        <w:rFonts w:hint="default"/>
        <w:lang w:val="uk-UA" w:eastAsia="uk-UA" w:bidi="uk-UA"/>
      </w:rPr>
    </w:lvl>
  </w:abstractNum>
  <w:abstractNum w:abstractNumId="7">
    <w:nsid w:val="7E347688"/>
    <w:multiLevelType w:val="hybridMultilevel"/>
    <w:tmpl w:val="1D3E572E"/>
    <w:lvl w:ilvl="0" w:tplc="D6921BC0">
      <w:numFmt w:val="bullet"/>
      <w:lvlText w:val=""/>
      <w:lvlJc w:val="left"/>
      <w:pPr>
        <w:ind w:left="318" w:hanging="425"/>
      </w:pPr>
      <w:rPr>
        <w:rFonts w:hint="default"/>
        <w:w w:val="99"/>
        <w:lang w:val="uk-UA" w:eastAsia="uk-UA" w:bidi="uk-UA"/>
      </w:rPr>
    </w:lvl>
    <w:lvl w:ilvl="1" w:tplc="F51E4532">
      <w:numFmt w:val="bullet"/>
      <w:lvlText w:val=""/>
      <w:lvlJc w:val="left"/>
      <w:pPr>
        <w:ind w:left="1289" w:hanging="404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128286AA">
      <w:numFmt w:val="bullet"/>
      <w:lvlText w:val="•"/>
      <w:lvlJc w:val="left"/>
      <w:pPr>
        <w:ind w:left="2254" w:hanging="404"/>
      </w:pPr>
      <w:rPr>
        <w:rFonts w:hint="default"/>
        <w:lang w:val="uk-UA" w:eastAsia="uk-UA" w:bidi="uk-UA"/>
      </w:rPr>
    </w:lvl>
    <w:lvl w:ilvl="3" w:tplc="AAC242F8">
      <w:numFmt w:val="bullet"/>
      <w:lvlText w:val="•"/>
      <w:lvlJc w:val="left"/>
      <w:pPr>
        <w:ind w:left="3228" w:hanging="404"/>
      </w:pPr>
      <w:rPr>
        <w:rFonts w:hint="default"/>
        <w:lang w:val="uk-UA" w:eastAsia="uk-UA" w:bidi="uk-UA"/>
      </w:rPr>
    </w:lvl>
    <w:lvl w:ilvl="4" w:tplc="B04CC85C">
      <w:numFmt w:val="bullet"/>
      <w:lvlText w:val="•"/>
      <w:lvlJc w:val="left"/>
      <w:pPr>
        <w:ind w:left="4202" w:hanging="404"/>
      </w:pPr>
      <w:rPr>
        <w:rFonts w:hint="default"/>
        <w:lang w:val="uk-UA" w:eastAsia="uk-UA" w:bidi="uk-UA"/>
      </w:rPr>
    </w:lvl>
    <w:lvl w:ilvl="5" w:tplc="1B4C85A2">
      <w:numFmt w:val="bullet"/>
      <w:lvlText w:val="•"/>
      <w:lvlJc w:val="left"/>
      <w:pPr>
        <w:ind w:left="5176" w:hanging="404"/>
      </w:pPr>
      <w:rPr>
        <w:rFonts w:hint="default"/>
        <w:lang w:val="uk-UA" w:eastAsia="uk-UA" w:bidi="uk-UA"/>
      </w:rPr>
    </w:lvl>
    <w:lvl w:ilvl="6" w:tplc="02B41CA0">
      <w:numFmt w:val="bullet"/>
      <w:lvlText w:val="•"/>
      <w:lvlJc w:val="left"/>
      <w:pPr>
        <w:ind w:left="6150" w:hanging="404"/>
      </w:pPr>
      <w:rPr>
        <w:rFonts w:hint="default"/>
        <w:lang w:val="uk-UA" w:eastAsia="uk-UA" w:bidi="uk-UA"/>
      </w:rPr>
    </w:lvl>
    <w:lvl w:ilvl="7" w:tplc="85D2323C">
      <w:numFmt w:val="bullet"/>
      <w:lvlText w:val="•"/>
      <w:lvlJc w:val="left"/>
      <w:pPr>
        <w:ind w:left="7124" w:hanging="404"/>
      </w:pPr>
      <w:rPr>
        <w:rFonts w:hint="default"/>
        <w:lang w:val="uk-UA" w:eastAsia="uk-UA" w:bidi="uk-UA"/>
      </w:rPr>
    </w:lvl>
    <w:lvl w:ilvl="8" w:tplc="AF96C4DC">
      <w:numFmt w:val="bullet"/>
      <w:lvlText w:val="•"/>
      <w:lvlJc w:val="left"/>
      <w:pPr>
        <w:ind w:left="8098" w:hanging="404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A0"/>
    <w:rsid w:val="001053A0"/>
    <w:rsid w:val="0024744B"/>
    <w:rsid w:val="007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1053A0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053A0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1053A0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53A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1053A0"/>
    <w:pPr>
      <w:ind w:left="318" w:hanging="361"/>
    </w:pPr>
  </w:style>
  <w:style w:type="character" w:styleId="a6">
    <w:name w:val="Hyperlink"/>
    <w:basedOn w:val="a0"/>
    <w:uiPriority w:val="99"/>
    <w:unhideWhenUsed/>
    <w:rsid w:val="0010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1053A0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053A0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1053A0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53A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1053A0"/>
    <w:pPr>
      <w:ind w:left="318" w:hanging="361"/>
    </w:pPr>
  </w:style>
  <w:style w:type="character" w:styleId="a6">
    <w:name w:val="Hyperlink"/>
    <w:basedOn w:val="a0"/>
    <w:uiPriority w:val="99"/>
    <w:unhideWhenUsed/>
    <w:rsid w:val="0010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2252</Characters>
  <Application>Microsoft Office Word</Application>
  <DocSecurity>0</DocSecurity>
  <Lines>18</Lines>
  <Paragraphs>5</Paragraphs>
  <ScaleCrop>false</ScaleCrop>
  <Company>HP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2022-02-16T23:01:00Z</cp:lastPrinted>
  <dcterms:created xsi:type="dcterms:W3CDTF">2022-02-16T22:32:00Z</dcterms:created>
  <dcterms:modified xsi:type="dcterms:W3CDTF">2022-02-16T23:01:00Z</dcterms:modified>
</cp:coreProperties>
</file>